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4DE109">
      <w:pPr>
        <w:rPr>
          <w:rFonts w:hint="eastAsia" w:ascii="宋体" w:hAnsi="宋体" w:eastAsia="宋体" w:cs="宋体"/>
          <w:b/>
          <w:bCs/>
          <w:color w:val="000000"/>
          <w:sz w:val="24"/>
          <w:highlight w:val="none"/>
        </w:rPr>
      </w:pPr>
    </w:p>
    <w:p w14:paraId="48C9E868">
      <w:pPr>
        <w:jc w:val="center"/>
        <w:rPr>
          <w:rFonts w:hint="eastAsia" w:ascii="宋体" w:hAnsi="宋体" w:eastAsia="宋体" w:cs="宋体"/>
          <w:b/>
          <w:bCs/>
          <w:color w:val="000000"/>
          <w:highlight w:val="none"/>
        </w:rPr>
      </w:pPr>
    </w:p>
    <w:p w14:paraId="2253F70E">
      <w:pPr>
        <w:jc w:val="center"/>
        <w:rPr>
          <w:rFonts w:hint="eastAsia" w:ascii="宋体" w:hAnsi="宋体" w:eastAsia="宋体" w:cs="宋体"/>
          <w:b/>
          <w:bCs/>
          <w:color w:val="000000"/>
          <w:sz w:val="32"/>
          <w:highlight w:val="none"/>
        </w:rPr>
      </w:pPr>
    </w:p>
    <w:p w14:paraId="264D5FE9">
      <w:pPr>
        <w:jc w:val="center"/>
        <w:rPr>
          <w:rFonts w:hint="eastAsia" w:ascii="宋体" w:hAnsi="宋体" w:eastAsia="宋体" w:cs="宋体"/>
          <w:b/>
          <w:bCs/>
          <w:color w:val="000000"/>
          <w:highlight w:val="none"/>
        </w:rPr>
      </w:pPr>
    </w:p>
    <w:p w14:paraId="3DDE2AA1">
      <w:pPr>
        <w:jc w:val="center"/>
        <w:rPr>
          <w:rFonts w:hint="eastAsia" w:ascii="宋体" w:hAnsi="宋体" w:eastAsia="宋体" w:cs="宋体"/>
          <w:b/>
          <w:bCs/>
          <w:color w:val="000000"/>
          <w:highlight w:val="none"/>
        </w:rPr>
      </w:pPr>
    </w:p>
    <w:p w14:paraId="7E413E82">
      <w:pPr>
        <w:jc w:val="center"/>
        <w:rPr>
          <w:rFonts w:hint="eastAsia" w:ascii="宋体" w:hAnsi="宋体" w:eastAsia="宋体" w:cs="宋体"/>
          <w:b/>
          <w:bCs/>
          <w:color w:val="000000"/>
          <w:highlight w:val="none"/>
        </w:rPr>
      </w:pPr>
    </w:p>
    <w:p w14:paraId="2520E3DC">
      <w:pPr>
        <w:jc w:val="center"/>
        <w:rPr>
          <w:rFonts w:hint="eastAsia" w:ascii="宋体" w:hAnsi="宋体" w:eastAsia="宋体" w:cs="宋体"/>
          <w:b/>
          <w:bCs/>
          <w:color w:val="000000"/>
          <w:highlight w:val="none"/>
        </w:rPr>
      </w:pPr>
    </w:p>
    <w:p w14:paraId="200F3CEE">
      <w:pPr>
        <w:jc w:val="center"/>
        <w:rPr>
          <w:rFonts w:hint="eastAsia" w:ascii="宋体" w:hAnsi="宋体" w:eastAsia="宋体" w:cs="宋体"/>
          <w:b/>
          <w:bCs/>
          <w:color w:val="000000"/>
          <w:highlight w:val="none"/>
        </w:rPr>
      </w:pPr>
    </w:p>
    <w:p w14:paraId="300DB8B3">
      <w:pPr>
        <w:jc w:val="center"/>
        <w:rPr>
          <w:rFonts w:hint="eastAsia" w:ascii="宋体" w:hAnsi="宋体" w:eastAsia="宋体" w:cs="宋体"/>
          <w:b/>
          <w:bCs/>
          <w:color w:val="000000"/>
          <w:highlight w:val="none"/>
        </w:rPr>
      </w:pPr>
    </w:p>
    <w:p w14:paraId="72A9CC58">
      <w:pPr>
        <w:jc w:val="center"/>
        <w:rPr>
          <w:rFonts w:hint="eastAsia" w:ascii="宋体" w:hAnsi="宋体" w:eastAsia="宋体" w:cs="宋体"/>
          <w:b/>
          <w:bCs/>
          <w:color w:val="000000"/>
          <w:spacing w:val="26"/>
          <w:sz w:val="72"/>
          <w:szCs w:val="72"/>
          <w:highlight w:val="none"/>
        </w:rPr>
      </w:pPr>
    </w:p>
    <w:p w14:paraId="78685406">
      <w:pPr>
        <w:jc w:val="center"/>
        <w:rPr>
          <w:rFonts w:hint="eastAsia" w:ascii="宋体" w:hAnsi="宋体" w:eastAsia="宋体" w:cs="宋体"/>
          <w:b/>
          <w:bCs/>
          <w:color w:val="000000"/>
          <w:spacing w:val="26"/>
          <w:sz w:val="72"/>
          <w:szCs w:val="72"/>
          <w:highlight w:val="none"/>
        </w:rPr>
      </w:pPr>
      <w:r>
        <w:rPr>
          <w:rFonts w:hint="eastAsia" w:ascii="宋体" w:hAnsi="宋体" w:eastAsia="宋体" w:cs="宋体"/>
          <w:b/>
          <w:bCs/>
          <w:color w:val="000000"/>
          <w:spacing w:val="26"/>
          <w:sz w:val="72"/>
          <w:szCs w:val="72"/>
          <w:highlight w:val="none"/>
        </w:rPr>
        <w:t>比选文件</w:t>
      </w:r>
    </w:p>
    <w:p w14:paraId="143244E9">
      <w:pPr>
        <w:jc w:val="center"/>
        <w:rPr>
          <w:rFonts w:hint="eastAsia" w:ascii="宋体" w:hAnsi="宋体" w:eastAsia="宋体" w:cs="宋体"/>
          <w:b/>
          <w:bCs/>
          <w:color w:val="000000"/>
          <w:sz w:val="32"/>
          <w:highlight w:val="none"/>
        </w:rPr>
      </w:pPr>
    </w:p>
    <w:p w14:paraId="0C7C0868">
      <w:pPr>
        <w:jc w:val="center"/>
        <w:rPr>
          <w:rFonts w:hint="eastAsia" w:ascii="宋体" w:hAnsi="宋体" w:eastAsia="宋体" w:cs="宋体"/>
          <w:b/>
          <w:bCs/>
          <w:color w:val="000000"/>
          <w:sz w:val="72"/>
          <w:highlight w:val="none"/>
        </w:rPr>
      </w:pPr>
    </w:p>
    <w:p w14:paraId="763A0E4C">
      <w:pPr>
        <w:adjustRightInd w:val="0"/>
        <w:snapToGrid w:val="0"/>
        <w:spacing w:line="360" w:lineRule="auto"/>
        <w:rPr>
          <w:rFonts w:hint="eastAsia" w:ascii="宋体" w:hAnsi="宋体" w:eastAsia="宋体" w:cs="宋体"/>
          <w:b/>
          <w:color w:val="000000"/>
          <w:sz w:val="28"/>
          <w:szCs w:val="28"/>
          <w:highlight w:val="none"/>
          <w:lang w:eastAsia="zh-CN"/>
        </w:rPr>
      </w:pPr>
      <w:r>
        <w:rPr>
          <w:rFonts w:hint="eastAsia" w:ascii="宋体" w:hAnsi="宋体" w:eastAsia="宋体" w:cs="宋体"/>
          <w:b/>
          <w:color w:val="000000"/>
          <w:sz w:val="28"/>
          <w:szCs w:val="28"/>
          <w:highlight w:val="none"/>
        </w:rPr>
        <w:t>项目编号：</w:t>
      </w:r>
      <w:r>
        <w:rPr>
          <w:rFonts w:hint="eastAsia" w:ascii="宋体" w:hAnsi="宋体" w:eastAsia="宋体" w:cs="宋体"/>
          <w:b/>
          <w:color w:val="000000"/>
          <w:sz w:val="28"/>
          <w:szCs w:val="28"/>
          <w:highlight w:val="none"/>
          <w:lang w:eastAsia="zh-CN"/>
        </w:rPr>
        <w:t>GXCZ-C-26500056</w:t>
      </w:r>
    </w:p>
    <w:p w14:paraId="37CCC7F6">
      <w:pPr>
        <w:adjustRightInd w:val="0"/>
        <w:snapToGrid w:val="0"/>
        <w:spacing w:line="360" w:lineRule="auto"/>
        <w:rPr>
          <w:rFonts w:hint="eastAsia" w:ascii="宋体" w:hAnsi="宋体" w:eastAsia="宋体" w:cs="宋体"/>
          <w:b/>
          <w:bCs/>
          <w:color w:val="000000"/>
          <w:sz w:val="32"/>
          <w:highlight w:val="none"/>
          <w:lang w:eastAsia="zh-CN"/>
        </w:rPr>
      </w:pPr>
      <w:r>
        <w:rPr>
          <w:rFonts w:hint="eastAsia" w:ascii="宋体" w:hAnsi="宋体" w:eastAsia="宋体" w:cs="宋体"/>
          <w:b/>
          <w:bCs/>
          <w:color w:val="000000"/>
          <w:sz w:val="32"/>
          <w:szCs w:val="32"/>
          <w:highlight w:val="none"/>
        </w:rPr>
        <w:t>项目名称：</w:t>
      </w:r>
      <w:r>
        <w:rPr>
          <w:rFonts w:hint="eastAsia" w:ascii="宋体" w:hAnsi="宋体" w:eastAsia="宋体" w:cs="宋体"/>
          <w:b/>
          <w:color w:val="000000"/>
          <w:sz w:val="28"/>
          <w:szCs w:val="28"/>
          <w:highlight w:val="none"/>
          <w:lang w:eastAsia="zh-CN"/>
        </w:rPr>
        <w:t>中国科学院软件研究所食堂服务招商项目</w:t>
      </w:r>
    </w:p>
    <w:p w14:paraId="4F81AAA0">
      <w:pPr>
        <w:adjustRightInd w:val="0"/>
        <w:snapToGrid w:val="0"/>
        <w:spacing w:line="360" w:lineRule="auto"/>
        <w:rPr>
          <w:rFonts w:hint="eastAsia" w:ascii="宋体" w:hAnsi="宋体" w:eastAsia="宋体" w:cs="宋体"/>
          <w:b/>
          <w:bCs/>
          <w:color w:val="000000"/>
          <w:sz w:val="32"/>
          <w:highlight w:val="none"/>
        </w:rPr>
      </w:pPr>
    </w:p>
    <w:p w14:paraId="7C3B84E4">
      <w:pPr>
        <w:rPr>
          <w:rFonts w:hint="eastAsia" w:ascii="宋体" w:hAnsi="宋体" w:eastAsia="宋体" w:cs="宋体"/>
          <w:b/>
          <w:bCs/>
          <w:color w:val="000000"/>
          <w:sz w:val="30"/>
          <w:highlight w:val="none"/>
        </w:rPr>
      </w:pPr>
    </w:p>
    <w:p w14:paraId="46E4A7CA">
      <w:pPr>
        <w:rPr>
          <w:rFonts w:hint="eastAsia" w:ascii="宋体" w:hAnsi="宋体" w:eastAsia="宋体" w:cs="宋体"/>
          <w:b/>
          <w:bCs/>
          <w:color w:val="000000"/>
          <w:sz w:val="30"/>
          <w:highlight w:val="none"/>
        </w:rPr>
      </w:pPr>
    </w:p>
    <w:p w14:paraId="7D74B7FB">
      <w:pPr>
        <w:rPr>
          <w:rFonts w:hint="eastAsia" w:ascii="宋体" w:hAnsi="宋体" w:eastAsia="宋体" w:cs="宋体"/>
          <w:b/>
          <w:bCs/>
          <w:color w:val="000000"/>
          <w:sz w:val="30"/>
          <w:highlight w:val="none"/>
        </w:rPr>
      </w:pPr>
    </w:p>
    <w:p w14:paraId="1BD00749">
      <w:pPr>
        <w:adjustRightInd w:val="0"/>
        <w:snapToGrid w:val="0"/>
        <w:spacing w:line="360" w:lineRule="auto"/>
        <w:rPr>
          <w:rFonts w:hint="eastAsia" w:ascii="宋体" w:hAnsi="宋体" w:eastAsia="宋体" w:cs="宋体"/>
          <w:b/>
          <w:bCs/>
          <w:color w:val="000000"/>
          <w:sz w:val="32"/>
          <w:highlight w:val="none"/>
        </w:rPr>
      </w:pPr>
    </w:p>
    <w:p w14:paraId="7229FC96">
      <w:pPr>
        <w:tabs>
          <w:tab w:val="left" w:pos="1680"/>
          <w:tab w:val="center" w:pos="4605"/>
        </w:tabs>
        <w:adjustRightInd w:val="0"/>
        <w:snapToGrid w:val="0"/>
        <w:spacing w:line="360" w:lineRule="auto"/>
        <w:jc w:val="center"/>
        <w:rPr>
          <w:rFonts w:hint="eastAsia" w:ascii="宋体" w:hAnsi="宋体" w:eastAsia="宋体" w:cs="宋体"/>
          <w:b/>
          <w:bCs/>
          <w:color w:val="000000"/>
          <w:sz w:val="32"/>
          <w:highlight w:val="none"/>
          <w:lang w:eastAsia="zh-CN"/>
        </w:rPr>
      </w:pPr>
      <w:r>
        <w:rPr>
          <w:rFonts w:hint="eastAsia" w:ascii="宋体" w:hAnsi="宋体" w:eastAsia="宋体" w:cs="宋体"/>
          <w:b/>
          <w:bCs/>
          <w:color w:val="000000"/>
          <w:sz w:val="32"/>
          <w:highlight w:val="none"/>
        </w:rPr>
        <w:t>采购人：</w:t>
      </w:r>
      <w:r>
        <w:rPr>
          <w:rFonts w:hint="eastAsia" w:ascii="宋体" w:hAnsi="宋体" w:eastAsia="宋体" w:cs="宋体"/>
          <w:b/>
          <w:bCs/>
          <w:color w:val="000000"/>
          <w:sz w:val="32"/>
          <w:highlight w:val="none"/>
          <w:lang w:eastAsia="zh-CN"/>
        </w:rPr>
        <w:t>中国科学院软件研究所</w:t>
      </w:r>
    </w:p>
    <w:p w14:paraId="22BD2D3A">
      <w:pPr>
        <w:adjustRightInd w:val="0"/>
        <w:snapToGrid w:val="0"/>
        <w:spacing w:line="360" w:lineRule="auto"/>
        <w:ind w:left="899" w:leftChars="428"/>
        <w:jc w:val="center"/>
        <w:rPr>
          <w:rFonts w:hint="eastAsia" w:ascii="宋体" w:hAnsi="宋体" w:eastAsia="宋体" w:cs="宋体"/>
          <w:b/>
          <w:bCs/>
          <w:color w:val="000000"/>
          <w:sz w:val="32"/>
          <w:highlight w:val="none"/>
          <w:lang w:val="en-US" w:eastAsia="zh-CN"/>
        </w:rPr>
      </w:pPr>
      <w:r>
        <w:rPr>
          <w:rFonts w:hint="eastAsia" w:ascii="宋体" w:hAnsi="宋体" w:eastAsia="宋体" w:cs="宋体"/>
          <w:b/>
          <w:bCs/>
          <w:color w:val="000000"/>
          <w:sz w:val="32"/>
          <w:highlight w:val="none"/>
          <w:lang w:val="en-US" w:eastAsia="zh-CN"/>
        </w:rPr>
        <w:t>2026年5月9日</w:t>
      </w:r>
    </w:p>
    <w:p w14:paraId="63980440">
      <w:pPr>
        <w:rPr>
          <w:rFonts w:hint="eastAsia" w:ascii="宋体" w:hAnsi="宋体" w:eastAsia="宋体" w:cs="宋体"/>
          <w:b/>
          <w:bCs/>
          <w:color w:val="000000"/>
          <w:sz w:val="30"/>
          <w:highlight w:val="none"/>
        </w:rPr>
      </w:pPr>
    </w:p>
    <w:p w14:paraId="2B638197">
      <w:pPr>
        <w:jc w:val="center"/>
        <w:rPr>
          <w:rFonts w:hint="eastAsia" w:ascii="宋体" w:hAnsi="宋体" w:eastAsia="宋体" w:cs="宋体"/>
          <w:b/>
          <w:bCs/>
          <w:color w:val="000000"/>
          <w:sz w:val="30"/>
          <w:highlight w:val="none"/>
        </w:rPr>
        <w:sectPr>
          <w:pgSz w:w="11906" w:h="16838"/>
          <w:pgMar w:top="851" w:right="1134" w:bottom="851" w:left="1247" w:header="851" w:footer="992" w:gutter="0"/>
          <w:cols w:space="720" w:num="1"/>
          <w:docGrid w:type="lines" w:linePitch="312" w:charSpace="0"/>
        </w:sectPr>
      </w:pPr>
    </w:p>
    <w:p w14:paraId="22E7E09E">
      <w:pPr>
        <w:jc w:val="center"/>
        <w:rPr>
          <w:rFonts w:hint="eastAsia" w:ascii="宋体" w:hAnsi="宋体" w:eastAsia="宋体" w:cs="宋体"/>
          <w:b/>
          <w:color w:val="000000"/>
          <w:sz w:val="44"/>
          <w:szCs w:val="36"/>
          <w:highlight w:val="none"/>
        </w:rPr>
      </w:pPr>
      <w:bookmarkStart w:id="0" w:name="_Toc68963457"/>
      <w:r>
        <w:rPr>
          <w:rFonts w:hint="eastAsia" w:ascii="宋体" w:hAnsi="宋体" w:eastAsia="宋体" w:cs="宋体"/>
          <w:b/>
          <w:color w:val="000000"/>
          <w:sz w:val="44"/>
          <w:szCs w:val="36"/>
          <w:highlight w:val="none"/>
        </w:rPr>
        <w:t>目 录</w:t>
      </w:r>
      <w:bookmarkEnd w:id="0"/>
    </w:p>
    <w:p w14:paraId="70E1D472">
      <w:pPr>
        <w:jc w:val="center"/>
        <w:rPr>
          <w:rFonts w:hint="eastAsia" w:ascii="宋体" w:hAnsi="宋体" w:eastAsia="宋体" w:cs="宋体"/>
          <w:b/>
          <w:color w:val="000000"/>
          <w:sz w:val="44"/>
          <w:szCs w:val="36"/>
          <w:highlight w:val="none"/>
        </w:rPr>
      </w:pPr>
    </w:p>
    <w:p w14:paraId="6805DFCE">
      <w:pPr>
        <w:pStyle w:val="24"/>
        <w:tabs>
          <w:tab w:val="right" w:leader="dot" w:pos="9525"/>
          <w:tab w:val="clear" w:pos="8302"/>
        </w:tabs>
        <w:spacing w:line="600" w:lineRule="auto"/>
        <w:rPr>
          <w:rFonts w:hint="eastAsia" w:ascii="宋体" w:hAnsi="宋体" w:eastAsia="宋体" w:cs="宋体"/>
          <w:b/>
          <w:bCs/>
          <w:sz w:val="30"/>
          <w:szCs w:val="30"/>
          <w:highlight w:val="none"/>
        </w:rPr>
      </w:pPr>
      <w:r>
        <w:rPr>
          <w:rFonts w:hint="eastAsia" w:ascii="宋体" w:hAnsi="宋体" w:eastAsia="宋体" w:cs="宋体"/>
          <w:b/>
          <w:bCs/>
          <w:color w:val="000000"/>
          <w:sz w:val="30"/>
          <w:szCs w:val="30"/>
          <w:highlight w:val="none"/>
        </w:rPr>
        <w:fldChar w:fldCharType="begin"/>
      </w:r>
      <w:r>
        <w:rPr>
          <w:rFonts w:hint="eastAsia" w:ascii="宋体" w:hAnsi="宋体" w:eastAsia="宋体" w:cs="宋体"/>
          <w:b/>
          <w:bCs/>
          <w:color w:val="000000"/>
          <w:sz w:val="30"/>
          <w:szCs w:val="30"/>
          <w:highlight w:val="none"/>
        </w:rPr>
        <w:instrText xml:space="preserve"> TOC \o "1-3" \h \z \u </w:instrText>
      </w:r>
      <w:r>
        <w:rPr>
          <w:rFonts w:hint="eastAsia" w:ascii="宋体" w:hAnsi="宋体" w:eastAsia="宋体" w:cs="宋体"/>
          <w:b/>
          <w:bCs/>
          <w:color w:val="000000"/>
          <w:sz w:val="30"/>
          <w:szCs w:val="30"/>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"_Toc22980" </w:instrText>
      </w:r>
      <w:r>
        <w:rPr>
          <w:rFonts w:hint="eastAsia" w:ascii="宋体" w:hAnsi="宋体" w:eastAsia="宋体" w:cs="宋体"/>
          <w:highlight w:val="none"/>
        </w:rPr>
        <w:fldChar w:fldCharType="separate"/>
      </w:r>
      <w:r>
        <w:rPr>
          <w:rFonts w:hint="eastAsia" w:ascii="宋体" w:hAnsi="宋体" w:eastAsia="宋体" w:cs="宋体"/>
          <w:b/>
          <w:bCs/>
          <w:sz w:val="30"/>
          <w:szCs w:val="30"/>
          <w:highlight w:val="none"/>
        </w:rPr>
        <w:t>第一章、比选邀请书</w:t>
      </w:r>
      <w:r>
        <w:rPr>
          <w:rFonts w:hint="eastAsia" w:ascii="宋体" w:hAnsi="宋体" w:eastAsia="宋体" w:cs="宋体"/>
          <w:b/>
          <w:bCs/>
          <w:sz w:val="30"/>
          <w:szCs w:val="30"/>
          <w:highlight w:val="none"/>
        </w:rPr>
        <w:tab/>
      </w: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PAGEREF _Toc22980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2</w:t>
      </w:r>
      <w:r>
        <w:rPr>
          <w:rFonts w:hint="eastAsia" w:ascii="宋体" w:hAnsi="宋体" w:eastAsia="宋体" w:cs="宋体"/>
          <w:b/>
          <w:bCs/>
          <w:sz w:val="30"/>
          <w:szCs w:val="30"/>
          <w:highlight w:val="none"/>
        </w:rPr>
        <w:fldChar w:fldCharType="end"/>
      </w:r>
      <w:r>
        <w:rPr>
          <w:rFonts w:hint="eastAsia" w:ascii="宋体" w:hAnsi="宋体" w:eastAsia="宋体" w:cs="宋体"/>
          <w:b/>
          <w:bCs/>
          <w:sz w:val="30"/>
          <w:szCs w:val="30"/>
          <w:highlight w:val="none"/>
        </w:rPr>
        <w:fldChar w:fldCharType="end"/>
      </w:r>
    </w:p>
    <w:p w14:paraId="0765DE04">
      <w:pPr>
        <w:pStyle w:val="24"/>
        <w:tabs>
          <w:tab w:val="right" w:leader="dot" w:pos="9525"/>
          <w:tab w:val="clear" w:pos="8302"/>
        </w:tabs>
        <w:spacing w:line="600" w:lineRule="auto"/>
        <w:rPr>
          <w:rFonts w:hint="eastAsia" w:ascii="宋体" w:hAnsi="宋体" w:eastAsia="宋体" w:cs="宋体"/>
          <w:b/>
          <w:bCs/>
          <w:sz w:val="30"/>
          <w:szCs w:val="30"/>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"_Toc4364" </w:instrText>
      </w:r>
      <w:r>
        <w:rPr>
          <w:rFonts w:hint="eastAsia" w:ascii="宋体" w:hAnsi="宋体" w:eastAsia="宋体" w:cs="宋体"/>
          <w:highlight w:val="none"/>
        </w:rPr>
        <w:fldChar w:fldCharType="separate"/>
      </w:r>
      <w:r>
        <w:rPr>
          <w:rFonts w:hint="eastAsia" w:ascii="宋体" w:hAnsi="宋体" w:eastAsia="宋体" w:cs="宋体"/>
          <w:b/>
          <w:bCs/>
          <w:sz w:val="30"/>
          <w:szCs w:val="30"/>
          <w:highlight w:val="none"/>
        </w:rPr>
        <w:t>第二章、比选供应商须知</w:t>
      </w:r>
      <w:r>
        <w:rPr>
          <w:rFonts w:hint="eastAsia" w:ascii="宋体" w:hAnsi="宋体" w:eastAsia="宋体" w:cs="宋体"/>
          <w:b/>
          <w:bCs/>
          <w:sz w:val="30"/>
          <w:szCs w:val="30"/>
          <w:highlight w:val="none"/>
        </w:rPr>
        <w:tab/>
      </w: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PAGEREF _Toc4364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4</w:t>
      </w:r>
      <w:r>
        <w:rPr>
          <w:rFonts w:hint="eastAsia" w:ascii="宋体" w:hAnsi="宋体" w:eastAsia="宋体" w:cs="宋体"/>
          <w:b/>
          <w:bCs/>
          <w:sz w:val="30"/>
          <w:szCs w:val="30"/>
          <w:highlight w:val="none"/>
        </w:rPr>
        <w:fldChar w:fldCharType="end"/>
      </w:r>
      <w:r>
        <w:rPr>
          <w:rFonts w:hint="eastAsia" w:ascii="宋体" w:hAnsi="宋体" w:eastAsia="宋体" w:cs="宋体"/>
          <w:b/>
          <w:bCs/>
          <w:sz w:val="30"/>
          <w:szCs w:val="30"/>
          <w:highlight w:val="none"/>
        </w:rPr>
        <w:fldChar w:fldCharType="end"/>
      </w:r>
    </w:p>
    <w:p w14:paraId="5016B8B0">
      <w:pPr>
        <w:pStyle w:val="24"/>
        <w:tabs>
          <w:tab w:val="right" w:leader="dot" w:pos="9525"/>
          <w:tab w:val="clear" w:pos="8302"/>
        </w:tabs>
        <w:spacing w:line="600" w:lineRule="auto"/>
        <w:rPr>
          <w:rFonts w:hint="eastAsia" w:ascii="宋体" w:hAnsi="宋体" w:eastAsia="宋体" w:cs="宋体"/>
          <w:b/>
          <w:bCs/>
          <w:sz w:val="30"/>
          <w:szCs w:val="30"/>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"_Toc11264" </w:instrText>
      </w:r>
      <w:r>
        <w:rPr>
          <w:rFonts w:hint="eastAsia" w:ascii="宋体" w:hAnsi="宋体" w:eastAsia="宋体" w:cs="宋体"/>
          <w:highlight w:val="none"/>
        </w:rPr>
        <w:fldChar w:fldCharType="separate"/>
      </w:r>
      <w:r>
        <w:rPr>
          <w:rFonts w:hint="eastAsia" w:ascii="宋体" w:hAnsi="宋体" w:eastAsia="宋体" w:cs="宋体"/>
          <w:b/>
          <w:bCs/>
          <w:sz w:val="30"/>
          <w:szCs w:val="30"/>
          <w:highlight w:val="none"/>
        </w:rPr>
        <w:t>第三章、合同条件、格式</w:t>
      </w:r>
      <w:r>
        <w:rPr>
          <w:rFonts w:hint="eastAsia" w:ascii="宋体" w:hAnsi="宋体" w:eastAsia="宋体" w:cs="宋体"/>
          <w:b/>
          <w:bCs/>
          <w:sz w:val="30"/>
          <w:szCs w:val="30"/>
          <w:highlight w:val="none"/>
        </w:rPr>
        <w:tab/>
      </w: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PAGEREF _Toc11264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12</w:t>
      </w:r>
      <w:r>
        <w:rPr>
          <w:rFonts w:hint="eastAsia" w:ascii="宋体" w:hAnsi="宋体" w:eastAsia="宋体" w:cs="宋体"/>
          <w:b/>
          <w:bCs/>
          <w:sz w:val="30"/>
          <w:szCs w:val="30"/>
          <w:highlight w:val="none"/>
        </w:rPr>
        <w:fldChar w:fldCharType="end"/>
      </w:r>
      <w:r>
        <w:rPr>
          <w:rFonts w:hint="eastAsia" w:ascii="宋体" w:hAnsi="宋体" w:eastAsia="宋体" w:cs="宋体"/>
          <w:b/>
          <w:bCs/>
          <w:sz w:val="30"/>
          <w:szCs w:val="30"/>
          <w:highlight w:val="none"/>
        </w:rPr>
        <w:fldChar w:fldCharType="end"/>
      </w:r>
    </w:p>
    <w:p w14:paraId="6D621BA4">
      <w:pPr>
        <w:pStyle w:val="24"/>
        <w:tabs>
          <w:tab w:val="right" w:leader="dot" w:pos="9525"/>
          <w:tab w:val="clear" w:pos="8302"/>
        </w:tabs>
        <w:spacing w:line="600" w:lineRule="auto"/>
        <w:rPr>
          <w:rFonts w:hint="eastAsia" w:ascii="宋体" w:hAnsi="宋体" w:eastAsia="宋体" w:cs="宋体"/>
          <w:b/>
          <w:bCs/>
          <w:sz w:val="30"/>
          <w:szCs w:val="30"/>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"_Toc4451" </w:instrText>
      </w:r>
      <w:r>
        <w:rPr>
          <w:rFonts w:hint="eastAsia" w:ascii="宋体" w:hAnsi="宋体" w:eastAsia="宋体" w:cs="宋体"/>
          <w:highlight w:val="none"/>
        </w:rPr>
        <w:fldChar w:fldCharType="separate"/>
      </w:r>
      <w:r>
        <w:rPr>
          <w:rFonts w:hint="eastAsia" w:ascii="宋体" w:hAnsi="宋体" w:eastAsia="宋体" w:cs="宋体"/>
          <w:b/>
          <w:bCs/>
          <w:sz w:val="30"/>
          <w:szCs w:val="30"/>
          <w:highlight w:val="none"/>
        </w:rPr>
        <w:t>第四章、技术服务需求及说明</w:t>
      </w:r>
      <w:r>
        <w:rPr>
          <w:rFonts w:hint="eastAsia" w:ascii="宋体" w:hAnsi="宋体" w:eastAsia="宋体" w:cs="宋体"/>
          <w:b/>
          <w:bCs/>
          <w:sz w:val="30"/>
          <w:szCs w:val="30"/>
          <w:highlight w:val="none"/>
        </w:rPr>
        <w:tab/>
      </w: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PAGEREF _Toc4451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52</w:t>
      </w:r>
      <w:r>
        <w:rPr>
          <w:rFonts w:hint="eastAsia" w:ascii="宋体" w:hAnsi="宋体" w:eastAsia="宋体" w:cs="宋体"/>
          <w:b/>
          <w:bCs/>
          <w:sz w:val="30"/>
          <w:szCs w:val="30"/>
          <w:highlight w:val="none"/>
        </w:rPr>
        <w:fldChar w:fldCharType="end"/>
      </w:r>
      <w:r>
        <w:rPr>
          <w:rFonts w:hint="eastAsia" w:ascii="宋体" w:hAnsi="宋体" w:eastAsia="宋体" w:cs="宋体"/>
          <w:b/>
          <w:bCs/>
          <w:sz w:val="30"/>
          <w:szCs w:val="30"/>
          <w:highlight w:val="none"/>
        </w:rPr>
        <w:fldChar w:fldCharType="end"/>
      </w:r>
    </w:p>
    <w:p w14:paraId="2D878666">
      <w:pPr>
        <w:pStyle w:val="24"/>
        <w:tabs>
          <w:tab w:val="right" w:leader="dot" w:pos="9525"/>
          <w:tab w:val="clear" w:pos="8302"/>
        </w:tabs>
        <w:spacing w:line="600" w:lineRule="auto"/>
        <w:rPr>
          <w:rFonts w:hint="eastAsia" w:ascii="宋体" w:hAnsi="宋体" w:eastAsia="宋体" w:cs="宋体"/>
          <w:b/>
          <w:bCs/>
          <w:sz w:val="30"/>
          <w:szCs w:val="30"/>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"_Toc31651" </w:instrText>
      </w:r>
      <w:r>
        <w:rPr>
          <w:rFonts w:hint="eastAsia" w:ascii="宋体" w:hAnsi="宋体" w:eastAsia="宋体" w:cs="宋体"/>
          <w:highlight w:val="none"/>
        </w:rPr>
        <w:fldChar w:fldCharType="separate"/>
      </w:r>
      <w:r>
        <w:rPr>
          <w:rFonts w:hint="eastAsia" w:ascii="宋体" w:hAnsi="宋体" w:eastAsia="宋体" w:cs="宋体"/>
          <w:b/>
          <w:bCs/>
          <w:sz w:val="30"/>
          <w:szCs w:val="30"/>
          <w:highlight w:val="none"/>
        </w:rPr>
        <w:t>第五章、比选响应文件格式</w:t>
      </w:r>
      <w:r>
        <w:rPr>
          <w:rFonts w:hint="eastAsia" w:ascii="宋体" w:hAnsi="宋体" w:eastAsia="宋体" w:cs="宋体"/>
          <w:b/>
          <w:bCs/>
          <w:sz w:val="30"/>
          <w:szCs w:val="30"/>
          <w:highlight w:val="none"/>
        </w:rPr>
        <w:tab/>
      </w: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PAGEREF _Toc31651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52</w:t>
      </w:r>
      <w:r>
        <w:rPr>
          <w:rFonts w:hint="eastAsia" w:ascii="宋体" w:hAnsi="宋体" w:eastAsia="宋体" w:cs="宋体"/>
          <w:b/>
          <w:bCs/>
          <w:sz w:val="30"/>
          <w:szCs w:val="30"/>
          <w:highlight w:val="none"/>
        </w:rPr>
        <w:fldChar w:fldCharType="end"/>
      </w:r>
      <w:r>
        <w:rPr>
          <w:rFonts w:hint="eastAsia" w:ascii="宋体" w:hAnsi="宋体" w:eastAsia="宋体" w:cs="宋体"/>
          <w:b/>
          <w:bCs/>
          <w:sz w:val="30"/>
          <w:szCs w:val="30"/>
          <w:highlight w:val="none"/>
        </w:rPr>
        <w:fldChar w:fldCharType="end"/>
      </w:r>
    </w:p>
    <w:p w14:paraId="1C9FF77B">
      <w:pPr>
        <w:pStyle w:val="24"/>
        <w:tabs>
          <w:tab w:val="right" w:leader="dot" w:pos="9525"/>
          <w:tab w:val="clear" w:pos="8302"/>
        </w:tabs>
        <w:spacing w:line="600" w:lineRule="auto"/>
        <w:rPr>
          <w:rFonts w:hint="eastAsia" w:ascii="宋体" w:hAnsi="宋体" w:eastAsia="宋体" w:cs="宋体"/>
          <w:b/>
          <w:bCs/>
          <w:sz w:val="30"/>
          <w:szCs w:val="30"/>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"_Toc19621" </w:instrText>
      </w:r>
      <w:r>
        <w:rPr>
          <w:rFonts w:hint="eastAsia" w:ascii="宋体" w:hAnsi="宋体" w:eastAsia="宋体" w:cs="宋体"/>
          <w:highlight w:val="none"/>
        </w:rPr>
        <w:fldChar w:fldCharType="separate"/>
      </w:r>
      <w:r>
        <w:rPr>
          <w:rFonts w:hint="eastAsia" w:ascii="宋体" w:hAnsi="宋体" w:eastAsia="宋体" w:cs="宋体"/>
          <w:b/>
          <w:bCs/>
          <w:sz w:val="30"/>
          <w:szCs w:val="30"/>
          <w:highlight w:val="none"/>
        </w:rPr>
        <w:t>第六章、评审办法</w:t>
      </w:r>
      <w:r>
        <w:rPr>
          <w:rFonts w:hint="eastAsia" w:ascii="宋体" w:hAnsi="宋体" w:eastAsia="宋体" w:cs="宋体"/>
          <w:b/>
          <w:bCs/>
          <w:sz w:val="30"/>
          <w:szCs w:val="30"/>
          <w:highlight w:val="none"/>
        </w:rPr>
        <w:tab/>
      </w: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PAGEREF _Toc19621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64</w:t>
      </w:r>
      <w:r>
        <w:rPr>
          <w:rFonts w:hint="eastAsia" w:ascii="宋体" w:hAnsi="宋体" w:eastAsia="宋体" w:cs="宋体"/>
          <w:b/>
          <w:bCs/>
          <w:sz w:val="30"/>
          <w:szCs w:val="30"/>
          <w:highlight w:val="none"/>
        </w:rPr>
        <w:fldChar w:fldCharType="end"/>
      </w:r>
      <w:r>
        <w:rPr>
          <w:rFonts w:hint="eastAsia" w:ascii="宋体" w:hAnsi="宋体" w:eastAsia="宋体" w:cs="宋体"/>
          <w:b/>
          <w:bCs/>
          <w:sz w:val="30"/>
          <w:szCs w:val="30"/>
          <w:highlight w:val="none"/>
        </w:rPr>
        <w:fldChar w:fldCharType="end"/>
      </w:r>
    </w:p>
    <w:p w14:paraId="06ADAB61">
      <w:pPr>
        <w:spacing w:line="600" w:lineRule="auto"/>
        <w:rPr>
          <w:rFonts w:hint="eastAsia" w:ascii="宋体" w:hAnsi="宋体" w:eastAsia="宋体" w:cs="宋体"/>
          <w:color w:val="000000"/>
          <w:sz w:val="40"/>
          <w:szCs w:val="32"/>
          <w:highlight w:val="none"/>
        </w:rPr>
      </w:pPr>
      <w:r>
        <w:rPr>
          <w:rFonts w:hint="eastAsia" w:ascii="宋体" w:hAnsi="宋体" w:eastAsia="宋体" w:cs="宋体"/>
          <w:b/>
          <w:bCs/>
          <w:color w:val="000000"/>
          <w:sz w:val="30"/>
          <w:szCs w:val="30"/>
          <w:highlight w:val="none"/>
        </w:rPr>
        <w:fldChar w:fldCharType="end"/>
      </w:r>
    </w:p>
    <w:p w14:paraId="48D55D6E">
      <w:pPr>
        <w:rPr>
          <w:rFonts w:hint="eastAsia" w:ascii="宋体" w:hAnsi="宋体" w:eastAsia="宋体" w:cs="宋体"/>
          <w:color w:val="000000"/>
          <w:sz w:val="32"/>
          <w:szCs w:val="32"/>
          <w:highlight w:val="none"/>
        </w:rPr>
        <w:sectPr>
          <w:headerReference r:id="rId3" w:type="default"/>
          <w:footerReference r:id="rId4" w:type="default"/>
          <w:pgSz w:w="11906" w:h="16838"/>
          <w:pgMar w:top="851" w:right="1134" w:bottom="851" w:left="1247" w:header="851" w:footer="992" w:gutter="0"/>
          <w:pgNumType w:start="1"/>
          <w:cols w:space="720" w:num="1"/>
          <w:docGrid w:type="lines" w:linePitch="312" w:charSpace="0"/>
        </w:sectPr>
      </w:pPr>
    </w:p>
    <w:p w14:paraId="2A7D082B">
      <w:pPr>
        <w:pStyle w:val="2"/>
        <w:rPr>
          <w:rFonts w:hint="eastAsia" w:ascii="宋体" w:hAnsi="宋体" w:eastAsia="宋体" w:cs="宋体"/>
          <w:color w:val="000000"/>
          <w:sz w:val="44"/>
          <w:highlight w:val="none"/>
        </w:rPr>
      </w:pPr>
      <w:bookmarkStart w:id="1" w:name="_Toc30564"/>
      <w:bookmarkStart w:id="2" w:name="_Toc22980"/>
      <w:bookmarkStart w:id="3" w:name="_Toc5979"/>
      <w:r>
        <w:rPr>
          <w:rFonts w:hint="eastAsia" w:ascii="宋体" w:hAnsi="宋体" w:eastAsia="宋体" w:cs="宋体"/>
          <w:color w:val="000000"/>
          <w:sz w:val="44"/>
          <w:highlight w:val="none"/>
        </w:rPr>
        <w:t>第一章、比选邀请书</w:t>
      </w:r>
      <w:bookmarkEnd w:id="1"/>
      <w:bookmarkEnd w:id="2"/>
      <w:bookmarkEnd w:id="3"/>
    </w:p>
    <w:p w14:paraId="4C71D265">
      <w:pPr>
        <w:adjustRightInd w:val="0"/>
        <w:snapToGrid w:val="0"/>
        <w:spacing w:line="480" w:lineRule="auto"/>
        <w:ind w:firstLine="420" w:firstLineChars="200"/>
        <w:rPr>
          <w:rFonts w:hint="eastAsia" w:ascii="宋体" w:hAnsi="宋体" w:eastAsia="宋体" w:cs="宋体"/>
          <w:color w:val="000000"/>
          <w:kern w:val="24"/>
          <w:sz w:val="21"/>
          <w:szCs w:val="21"/>
          <w:highlight w:val="none"/>
        </w:rPr>
      </w:pPr>
      <w:r>
        <w:rPr>
          <w:rFonts w:hint="eastAsia" w:ascii="宋体" w:hAnsi="宋体" w:eastAsia="宋体" w:cs="宋体"/>
          <w:color w:val="000000"/>
          <w:sz w:val="21"/>
          <w:szCs w:val="21"/>
          <w:highlight w:val="none"/>
          <w:u w:val="single"/>
          <w:lang w:eastAsia="zh-CN"/>
        </w:rPr>
        <w:t>中国科学院软件研究所</w:t>
      </w:r>
      <w:r>
        <w:rPr>
          <w:rFonts w:hint="eastAsia" w:ascii="宋体" w:hAnsi="宋体" w:eastAsia="宋体" w:cs="宋体"/>
          <w:color w:val="000000"/>
          <w:sz w:val="21"/>
          <w:szCs w:val="21"/>
          <w:highlight w:val="none"/>
        </w:rPr>
        <w:t>根据有关法律法规，对</w:t>
      </w:r>
      <w:r>
        <w:rPr>
          <w:rFonts w:hint="eastAsia" w:ascii="宋体" w:hAnsi="宋体" w:eastAsia="宋体" w:cs="宋体"/>
          <w:color w:val="000000"/>
          <w:sz w:val="21"/>
          <w:szCs w:val="21"/>
          <w:highlight w:val="none"/>
          <w:lang w:eastAsia="zh-CN"/>
        </w:rPr>
        <w:t>中国科学院软件研究所食堂服务招商项目</w:t>
      </w:r>
      <w:r>
        <w:rPr>
          <w:rFonts w:hint="eastAsia" w:ascii="宋体" w:hAnsi="宋体" w:eastAsia="宋体" w:cs="宋体"/>
          <w:color w:val="000000"/>
          <w:sz w:val="21"/>
          <w:szCs w:val="21"/>
          <w:highlight w:val="none"/>
        </w:rPr>
        <w:t>（</w:t>
      </w:r>
      <w:r>
        <w:rPr>
          <w:rFonts w:hint="eastAsia" w:ascii="宋体" w:hAnsi="宋体" w:eastAsia="宋体" w:cs="宋体"/>
          <w:b/>
          <w:bCs/>
          <w:color w:val="000000"/>
          <w:sz w:val="21"/>
          <w:szCs w:val="21"/>
          <w:highlight w:val="none"/>
        </w:rPr>
        <w:t>项目编号：</w:t>
      </w:r>
      <w:r>
        <w:rPr>
          <w:rFonts w:hint="eastAsia" w:ascii="宋体" w:hAnsi="宋体" w:eastAsia="宋体" w:cs="宋体"/>
          <w:b/>
          <w:bCs/>
          <w:color w:val="000000"/>
          <w:sz w:val="21"/>
          <w:szCs w:val="21"/>
          <w:highlight w:val="none"/>
          <w:lang w:eastAsia="zh-CN"/>
        </w:rPr>
        <w:t>GXCZ-C-26500056</w:t>
      </w:r>
      <w:r>
        <w:rPr>
          <w:rFonts w:hint="eastAsia" w:ascii="宋体" w:hAnsi="宋体" w:eastAsia="宋体" w:cs="宋体"/>
          <w:color w:val="000000"/>
          <w:sz w:val="21"/>
          <w:szCs w:val="21"/>
          <w:highlight w:val="none"/>
        </w:rPr>
        <w:t>），供应商就如下项目提交密封响应文件并进行比选。</w:t>
      </w:r>
    </w:p>
    <w:p w14:paraId="28CCE4DA">
      <w:pPr>
        <w:numPr>
          <w:ilvl w:val="0"/>
          <w:numId w:val="1"/>
        </w:numPr>
        <w:adjustRightInd w:val="0"/>
        <w:snapToGrid w:val="0"/>
        <w:spacing w:line="48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服务范围：</w:t>
      </w:r>
      <w:r>
        <w:rPr>
          <w:rFonts w:hint="eastAsia" w:ascii="宋体" w:hAnsi="宋体" w:eastAsia="宋体" w:cs="宋体"/>
          <w:color w:val="000000"/>
          <w:sz w:val="21"/>
          <w:szCs w:val="21"/>
          <w:highlight w:val="none"/>
          <w:lang w:val="en-US" w:eastAsia="zh-CN"/>
        </w:rPr>
        <w:t>采购人</w:t>
      </w:r>
      <w:r>
        <w:rPr>
          <w:rFonts w:hint="eastAsia" w:ascii="宋体" w:hAnsi="宋体" w:eastAsia="宋体" w:cs="宋体"/>
          <w:color w:val="000000"/>
          <w:sz w:val="21"/>
          <w:szCs w:val="21"/>
          <w:highlight w:val="none"/>
        </w:rPr>
        <w:t>负责提供厨房、餐厅、灶具、厨杂、餐座椅</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人员住宿</w:t>
      </w:r>
      <w:r>
        <w:rPr>
          <w:rFonts w:hint="eastAsia" w:ascii="宋体" w:hAnsi="宋体" w:eastAsia="宋体" w:cs="宋体"/>
          <w:color w:val="000000"/>
          <w:sz w:val="21"/>
          <w:szCs w:val="21"/>
          <w:highlight w:val="none"/>
        </w:rPr>
        <w:t>等基本供餐设备设施。</w:t>
      </w:r>
      <w:r>
        <w:rPr>
          <w:rFonts w:hint="eastAsia" w:ascii="宋体" w:hAnsi="宋体" w:eastAsia="宋体" w:cs="宋体"/>
          <w:color w:val="000000"/>
          <w:sz w:val="21"/>
          <w:szCs w:val="21"/>
          <w:highlight w:val="none"/>
          <w:lang w:val="en-US" w:eastAsia="zh-CN"/>
        </w:rPr>
        <w:t>供应商</w:t>
      </w:r>
      <w:r>
        <w:rPr>
          <w:rFonts w:hint="eastAsia" w:ascii="宋体" w:hAnsi="宋体" w:eastAsia="宋体" w:cs="宋体"/>
          <w:color w:val="000000"/>
          <w:sz w:val="21"/>
          <w:szCs w:val="21"/>
          <w:highlight w:val="none"/>
        </w:rPr>
        <w:t>派驻服务人员，负责提供</w:t>
      </w:r>
      <w:r>
        <w:rPr>
          <w:rFonts w:hint="eastAsia" w:ascii="宋体" w:hAnsi="宋体" w:eastAsia="宋体" w:cs="宋体"/>
          <w:color w:val="000000"/>
          <w:sz w:val="21"/>
          <w:szCs w:val="21"/>
          <w:highlight w:val="none"/>
          <w:lang w:val="en-US" w:eastAsia="zh-CN"/>
        </w:rPr>
        <w:t>服务</w:t>
      </w:r>
      <w:r>
        <w:rPr>
          <w:rFonts w:hint="eastAsia" w:ascii="宋体" w:hAnsi="宋体" w:eastAsia="宋体" w:cs="宋体"/>
          <w:color w:val="000000"/>
          <w:sz w:val="21"/>
          <w:szCs w:val="21"/>
          <w:highlight w:val="none"/>
        </w:rPr>
        <w:t>人员、食品制作、餐厅服务辖区卫生保洁、设备、餐具、厨杂、食品、物资的使用、设备维护管理服务</w:t>
      </w:r>
      <w:r>
        <w:rPr>
          <w:rFonts w:hint="eastAsia" w:ascii="宋体" w:hAnsi="宋体" w:eastAsia="宋体" w:cs="宋体"/>
          <w:color w:val="000000"/>
          <w:sz w:val="21"/>
          <w:szCs w:val="21"/>
          <w:highlight w:val="none"/>
          <w:lang w:eastAsia="zh-CN"/>
        </w:rPr>
        <w:t>。</w:t>
      </w:r>
    </w:p>
    <w:p w14:paraId="0730DA1D">
      <w:pPr>
        <w:numPr>
          <w:ilvl w:val="0"/>
          <w:numId w:val="1"/>
        </w:numPr>
        <w:adjustRightInd w:val="0"/>
        <w:snapToGrid w:val="0"/>
        <w:spacing w:line="48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比选文件采用电子版方式向供应商发送。</w:t>
      </w:r>
    </w:p>
    <w:p w14:paraId="1872A708">
      <w:pPr>
        <w:numPr>
          <w:ilvl w:val="0"/>
          <w:numId w:val="1"/>
        </w:numPr>
        <w:spacing w:line="48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供应商资格：</w:t>
      </w:r>
    </w:p>
    <w:p w14:paraId="690D1145">
      <w:pPr>
        <w:pStyle w:val="18"/>
        <w:adjustRightInd w:val="0"/>
        <w:snapToGrid w:val="0"/>
        <w:spacing w:line="48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合格比选供应商必须同时满足下述资格条件：</w:t>
      </w:r>
    </w:p>
    <w:p w14:paraId="287316BA">
      <w:pPr>
        <w:pStyle w:val="18"/>
        <w:adjustRightInd w:val="0"/>
        <w:snapToGrid w:val="0"/>
        <w:spacing w:line="48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A.具备中华人民共和国独立法人资格，有效合法的注册资质（企业法人营业执照、税务登记证、组织机构代码证等合法有效，已完成“三证合一”登记制度改革的，须提供由工商部门核发的已加载统一社会信用代码的营业执照），营业执照经营范围须覆盖本项目服务范围，</w:t>
      </w:r>
    </w:p>
    <w:p w14:paraId="47935819">
      <w:pPr>
        <w:pStyle w:val="18"/>
        <w:adjustRightInd w:val="0"/>
        <w:snapToGrid w:val="0"/>
        <w:spacing w:line="48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B.遵守国家法律、法规，企业财务状况良好、企业信誉良好，最近3年在经营活动中没有违法、违规记录，不得存在下列情形之一：被责令停业或破产状态的，财产被接管或冻结的，被暂停或取消投标资格的；</w:t>
      </w:r>
    </w:p>
    <w:p w14:paraId="557706B8">
      <w:pPr>
        <w:pStyle w:val="18"/>
        <w:adjustRightInd w:val="0"/>
        <w:snapToGrid w:val="0"/>
        <w:spacing w:line="48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C.单位负责人为同一人或者</w:t>
      </w:r>
      <w:r>
        <w:rPr>
          <w:rFonts w:hint="eastAsia" w:ascii="宋体" w:hAnsi="宋体" w:eastAsia="宋体" w:cs="宋体"/>
          <w:sz w:val="21"/>
          <w:szCs w:val="21"/>
          <w:highlight w:val="none"/>
          <w:lang w:eastAsia="zh-CN"/>
        </w:rPr>
        <w:t>存在直接控股</w:t>
      </w:r>
      <w:r>
        <w:rPr>
          <w:rFonts w:hint="eastAsia" w:ascii="宋体" w:hAnsi="宋体" w:eastAsia="宋体" w:cs="宋体"/>
          <w:sz w:val="21"/>
          <w:szCs w:val="21"/>
          <w:highlight w:val="none"/>
        </w:rPr>
        <w:t>、管理关系的不同单位，不得同时参加同本项目比选；</w:t>
      </w:r>
    </w:p>
    <w:p w14:paraId="7F075466">
      <w:pPr>
        <w:pStyle w:val="31"/>
        <w:numPr>
          <w:ilvl w:val="255"/>
          <w:numId w:val="0"/>
        </w:numPr>
        <w:spacing w:line="48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D.须具备</w:t>
      </w:r>
      <w:r>
        <w:rPr>
          <w:rFonts w:hint="eastAsia" w:ascii="宋体" w:hAnsi="宋体" w:eastAsia="宋体" w:cs="宋体"/>
          <w:b/>
          <w:bCs/>
          <w:sz w:val="21"/>
          <w:szCs w:val="21"/>
          <w:highlight w:val="none"/>
          <w:lang w:eastAsia="zh-CN"/>
        </w:rPr>
        <w:t>有效期内的《食品经营许可证》</w:t>
      </w:r>
      <w:r>
        <w:rPr>
          <w:rFonts w:hint="eastAsia" w:ascii="宋体" w:hAnsi="宋体" w:eastAsia="宋体" w:cs="宋体"/>
          <w:b/>
          <w:bCs/>
          <w:sz w:val="21"/>
          <w:szCs w:val="21"/>
          <w:highlight w:val="none"/>
        </w:rPr>
        <w:t>；</w:t>
      </w:r>
    </w:p>
    <w:p w14:paraId="509863CE">
      <w:pPr>
        <w:pStyle w:val="31"/>
        <w:numPr>
          <w:ilvl w:val="255"/>
          <w:numId w:val="0"/>
        </w:numPr>
        <w:spacing w:line="48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E.被“信用中国”网站（</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"http://www.creditchina.gov.cn）中列入失信被执行人和/"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www.creditchina.gov.cn）中列入失信被执行人和</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重大税收违法案件当事人名单的供应商无资格参加本项目的采购活动。</w:t>
      </w:r>
    </w:p>
    <w:p w14:paraId="1595CCCD">
      <w:pPr>
        <w:pStyle w:val="31"/>
        <w:numPr>
          <w:ilvl w:val="255"/>
          <w:numId w:val="0"/>
        </w:numPr>
        <w:spacing w:line="480" w:lineRule="auto"/>
        <w:ind w:left="120" w:hanging="105" w:hangingChars="5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、报名及获取比选文件方法：凡有意参加本项目的供应商，请于</w:t>
      </w:r>
      <w:r>
        <w:rPr>
          <w:rFonts w:hint="eastAsia" w:ascii="宋体" w:hAnsi="宋体" w:eastAsia="宋体" w:cs="宋体"/>
          <w:sz w:val="21"/>
          <w:szCs w:val="21"/>
          <w:highlight w:val="none"/>
          <w:lang w:eastAsia="zh-CN"/>
        </w:rPr>
        <w:t>2026年5月9日至2026年5月</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lang w:eastAsia="zh-CN"/>
        </w:rPr>
        <w:t>日</w:t>
      </w:r>
      <w:r>
        <w:rPr>
          <w:rFonts w:hint="eastAsia" w:ascii="宋体" w:hAnsi="宋体" w:eastAsia="宋体" w:cs="宋体"/>
          <w:sz w:val="21"/>
          <w:szCs w:val="21"/>
          <w:highlight w:val="none"/>
        </w:rPr>
        <w:t>（每天9:00-17:00，周六、周日及法定节假日除外），持法人代表授权书及被授权人的有效身份证明原件及复印件（加盖公章），至</w:t>
      </w:r>
      <w:r>
        <w:rPr>
          <w:rFonts w:hint="eastAsia" w:ascii="宋体" w:hAnsi="宋体" w:eastAsia="宋体" w:cs="宋体"/>
          <w:sz w:val="21"/>
          <w:szCs w:val="21"/>
          <w:highlight w:val="none"/>
          <w:lang w:eastAsia="zh-CN"/>
        </w:rPr>
        <w:t>北京市海淀区四季青镇和泓四季6号楼国信招标</w:t>
      </w:r>
      <w:r>
        <w:rPr>
          <w:rFonts w:hint="eastAsia" w:ascii="宋体" w:hAnsi="宋体" w:eastAsia="宋体" w:cs="宋体"/>
          <w:sz w:val="21"/>
          <w:szCs w:val="21"/>
          <w:highlight w:val="none"/>
        </w:rPr>
        <w:t>办理报名并获取比选文件。</w:t>
      </w:r>
    </w:p>
    <w:p w14:paraId="39817BBB">
      <w:pPr>
        <w:adjustRightInd w:val="0"/>
        <w:snapToGrid w:val="0"/>
        <w:spacing w:line="480" w:lineRule="auto"/>
        <w:ind w:left="480" w:hanging="420" w:hangingChars="20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、比选时间：</w:t>
      </w:r>
      <w:r>
        <w:rPr>
          <w:rFonts w:hint="eastAsia" w:ascii="宋体" w:hAnsi="宋体" w:eastAsia="宋体" w:cs="宋体"/>
          <w:sz w:val="21"/>
          <w:szCs w:val="21"/>
          <w:highlight w:val="none"/>
          <w:lang w:eastAsia="zh-CN"/>
        </w:rPr>
        <w:t>2026年5月20日14：00</w:t>
      </w:r>
      <w:r>
        <w:rPr>
          <w:rFonts w:hint="eastAsia" w:ascii="宋体" w:hAnsi="宋体" w:eastAsia="宋体" w:cs="宋体"/>
          <w:sz w:val="21"/>
          <w:szCs w:val="21"/>
          <w:highlight w:val="none"/>
        </w:rPr>
        <w:t>（北京时间）。届时请参加比选的代表出席比选仪式。</w:t>
      </w:r>
    </w:p>
    <w:p w14:paraId="5AB86ECE">
      <w:pPr>
        <w:adjustRightInd w:val="0"/>
        <w:snapToGrid w:val="0"/>
        <w:spacing w:line="480" w:lineRule="auto"/>
        <w:ind w:left="360" w:hanging="315" w:hangingChars="15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、比选地点：北京市海淀区四季青常青路和泓四季6号楼会议室</w:t>
      </w:r>
    </w:p>
    <w:p w14:paraId="6AAC426D">
      <w:pPr>
        <w:adjustRightInd w:val="0"/>
        <w:snapToGrid w:val="0"/>
        <w:spacing w:line="480" w:lineRule="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、比选文件的递交：比选响应文件须密封后于（比选当日）比选时间前递至比选地点。逾期送达或密封不符合规定的比选响应文件恕不接受。</w:t>
      </w:r>
    </w:p>
    <w:p w14:paraId="66A88664">
      <w:pPr>
        <w:pStyle w:val="58"/>
        <w:numPr>
          <w:ilvl w:val="0"/>
          <w:numId w:val="0"/>
        </w:numPr>
        <w:adjustRightInd w:val="0"/>
        <w:snapToGrid w:val="0"/>
        <w:spacing w:line="480" w:lineRule="auto"/>
        <w:ind w:leftChars="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本项目在</w:t>
      </w:r>
      <w:r>
        <w:rPr>
          <w:rFonts w:hint="eastAsia" w:ascii="宋体" w:hAnsi="宋体" w:eastAsia="宋体" w:cs="宋体"/>
          <w:sz w:val="21"/>
          <w:szCs w:val="21"/>
          <w:highlight w:val="none"/>
          <w:lang w:eastAsia="zh-CN"/>
        </w:rPr>
        <w:t>中国采购与招标网、中国科学院软件研究所</w:t>
      </w:r>
      <w:r>
        <w:rPr>
          <w:rFonts w:hint="eastAsia" w:ascii="宋体" w:hAnsi="宋体" w:eastAsia="宋体" w:cs="宋体"/>
          <w:sz w:val="21"/>
          <w:szCs w:val="21"/>
          <w:highlight w:val="none"/>
          <w:lang w:val="en-US" w:eastAsia="zh-CN"/>
        </w:rPr>
        <w:t>官网</w:t>
      </w:r>
      <w:r>
        <w:rPr>
          <w:rFonts w:hint="eastAsia" w:ascii="宋体" w:hAnsi="宋体" w:eastAsia="宋体" w:cs="宋体"/>
          <w:sz w:val="21"/>
          <w:szCs w:val="21"/>
          <w:highlight w:val="none"/>
        </w:rPr>
        <w:t>对外发布。</w:t>
      </w:r>
    </w:p>
    <w:p w14:paraId="7A5CEBEC">
      <w:pPr>
        <w:tabs>
          <w:tab w:val="left" w:pos="360"/>
          <w:tab w:val="left" w:pos="540"/>
        </w:tabs>
        <w:adjustRightInd w:val="0"/>
        <w:snapToGrid w:val="0"/>
        <w:spacing w:line="48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采购人：</w:t>
      </w:r>
      <w:r>
        <w:rPr>
          <w:rFonts w:hint="eastAsia" w:ascii="宋体" w:hAnsi="宋体" w:eastAsia="宋体" w:cs="宋体"/>
          <w:sz w:val="21"/>
          <w:szCs w:val="21"/>
          <w:highlight w:val="none"/>
          <w:lang w:eastAsia="zh-CN"/>
        </w:rPr>
        <w:t>中国科学院软件研究所</w:t>
      </w:r>
    </w:p>
    <w:p w14:paraId="2217511B">
      <w:pPr>
        <w:tabs>
          <w:tab w:val="left" w:pos="360"/>
          <w:tab w:val="left" w:pos="540"/>
        </w:tabs>
        <w:adjustRightInd w:val="0"/>
        <w:snapToGrid w:val="0"/>
        <w:spacing w:line="48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地址：北京市海淀区中关村南四街4号</w:t>
      </w:r>
    </w:p>
    <w:p w14:paraId="310E10A3">
      <w:pPr>
        <w:tabs>
          <w:tab w:val="left" w:pos="360"/>
          <w:tab w:val="left" w:pos="540"/>
        </w:tabs>
        <w:adjustRightInd w:val="0"/>
        <w:snapToGrid w:val="0"/>
        <w:spacing w:line="48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咨询机构：国信招标集团股份有限公司</w:t>
      </w:r>
    </w:p>
    <w:p w14:paraId="74BBB6B5">
      <w:pPr>
        <w:tabs>
          <w:tab w:val="left" w:pos="360"/>
          <w:tab w:val="left" w:pos="540"/>
        </w:tabs>
        <w:adjustRightInd w:val="0"/>
        <w:snapToGrid w:val="0"/>
        <w:spacing w:line="48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联系人：贾大鹏、</w:t>
      </w:r>
      <w:r>
        <w:rPr>
          <w:rFonts w:hint="eastAsia" w:ascii="宋体" w:hAnsi="宋体" w:eastAsia="宋体" w:cs="宋体"/>
          <w:sz w:val="21"/>
          <w:szCs w:val="21"/>
          <w:highlight w:val="none"/>
          <w:lang w:val="en-US" w:eastAsia="zh-CN"/>
        </w:rPr>
        <w:t>荣蕾</w:t>
      </w:r>
      <w:bookmarkStart w:id="123" w:name="_GoBack"/>
      <w:bookmarkEnd w:id="123"/>
    </w:p>
    <w:p w14:paraId="23BE57FA">
      <w:pPr>
        <w:tabs>
          <w:tab w:val="left" w:pos="360"/>
          <w:tab w:val="left" w:pos="540"/>
        </w:tabs>
        <w:adjustRightInd w:val="0"/>
        <w:snapToGrid w:val="0"/>
        <w:spacing w:line="48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联系电话：18910809508</w:t>
      </w:r>
    </w:p>
    <w:p w14:paraId="0002A636">
      <w:pPr>
        <w:adjustRightInd w:val="0"/>
        <w:snapToGrid w:val="0"/>
        <w:spacing w:line="480" w:lineRule="auto"/>
        <w:rPr>
          <w:rFonts w:hint="eastAsia" w:ascii="宋体" w:hAnsi="宋体" w:eastAsia="宋体" w:cs="宋体"/>
          <w:sz w:val="21"/>
          <w:szCs w:val="21"/>
          <w:highlight w:val="none"/>
        </w:rPr>
      </w:pPr>
    </w:p>
    <w:p w14:paraId="42C02A00">
      <w:pPr>
        <w:adjustRightInd w:val="0"/>
        <w:snapToGrid w:val="0"/>
        <w:spacing w:line="480" w:lineRule="auto"/>
        <w:ind w:right="960"/>
        <w:jc w:val="righ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中国科学院软件研究所</w:t>
      </w:r>
    </w:p>
    <w:p w14:paraId="1ACAD141">
      <w:pPr>
        <w:spacing w:line="480" w:lineRule="auto"/>
        <w:ind w:right="960"/>
        <w:jc w:val="righ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2026年5月9日</w:t>
      </w:r>
    </w:p>
    <w:p w14:paraId="2CAA9D72">
      <w:pPr>
        <w:rPr>
          <w:rFonts w:hint="eastAsia" w:ascii="宋体" w:hAnsi="宋体" w:eastAsia="宋体" w:cs="宋体"/>
          <w:sz w:val="44"/>
          <w:highlight w:val="none"/>
        </w:rPr>
      </w:pPr>
      <w:bookmarkStart w:id="4" w:name="_Toc12910"/>
      <w:bookmarkStart w:id="5" w:name="_Toc4364"/>
      <w:r>
        <w:rPr>
          <w:rFonts w:hint="eastAsia" w:ascii="宋体" w:hAnsi="宋体" w:eastAsia="宋体" w:cs="宋体"/>
          <w:sz w:val="44"/>
          <w:highlight w:val="none"/>
        </w:rPr>
        <w:br w:type="page"/>
      </w:r>
    </w:p>
    <w:p w14:paraId="4B9531F3">
      <w:pPr>
        <w:pStyle w:val="2"/>
        <w:rPr>
          <w:rFonts w:hint="eastAsia" w:ascii="宋体" w:hAnsi="宋体" w:eastAsia="宋体" w:cs="宋体"/>
          <w:sz w:val="44"/>
          <w:highlight w:val="none"/>
        </w:rPr>
      </w:pPr>
      <w:r>
        <w:rPr>
          <w:rFonts w:hint="eastAsia" w:ascii="宋体" w:hAnsi="宋体" w:eastAsia="宋体" w:cs="宋体"/>
          <w:sz w:val="44"/>
          <w:highlight w:val="none"/>
        </w:rPr>
        <w:t>第二章、比选供应商须知</w:t>
      </w:r>
      <w:bookmarkEnd w:id="4"/>
      <w:bookmarkEnd w:id="5"/>
    </w:p>
    <w:p w14:paraId="2FA9A28B">
      <w:pPr>
        <w:jc w:val="center"/>
        <w:rPr>
          <w:rFonts w:hint="eastAsia" w:ascii="宋体" w:hAnsi="宋体" w:eastAsia="宋体" w:cs="宋体"/>
          <w:b/>
          <w:sz w:val="32"/>
          <w:highlight w:val="none"/>
        </w:rPr>
      </w:pPr>
      <w:bookmarkStart w:id="6" w:name="_Toc68963460"/>
      <w:r>
        <w:rPr>
          <w:rFonts w:hint="eastAsia" w:ascii="宋体" w:hAnsi="宋体" w:eastAsia="宋体" w:cs="宋体"/>
          <w:b/>
          <w:sz w:val="32"/>
          <w:highlight w:val="none"/>
        </w:rPr>
        <w:t>比选供应商须知前附表</w:t>
      </w:r>
      <w:bookmarkEnd w:id="6"/>
    </w:p>
    <w:tbl>
      <w:tblPr>
        <w:tblStyle w:val="32"/>
        <w:tblW w:w="9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994"/>
        <w:gridCol w:w="8306"/>
      </w:tblGrid>
      <w:tr w14:paraId="43555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blHeader/>
          <w:jc w:val="center"/>
        </w:trPr>
        <w:tc>
          <w:tcPr>
            <w:tcW w:w="595" w:type="dxa"/>
            <w:tcMar>
              <w:top w:w="57" w:type="dxa"/>
              <w:bottom w:w="57" w:type="dxa"/>
            </w:tcMar>
            <w:vAlign w:val="center"/>
          </w:tcPr>
          <w:p w14:paraId="3B90B9A5">
            <w:pPr>
              <w:pStyle w:val="18"/>
              <w:adjustRightInd w:val="0"/>
              <w:snapToGrid w:val="0"/>
              <w:spacing w:line="48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994" w:type="dxa"/>
            <w:tcMar>
              <w:top w:w="57" w:type="dxa"/>
              <w:bottom w:w="57" w:type="dxa"/>
            </w:tcMar>
            <w:vAlign w:val="center"/>
          </w:tcPr>
          <w:p w14:paraId="342B58C3">
            <w:pPr>
              <w:pStyle w:val="18"/>
              <w:adjustRightInd w:val="0"/>
              <w:snapToGrid w:val="0"/>
              <w:spacing w:line="48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8306" w:type="dxa"/>
            <w:tcMar>
              <w:top w:w="57" w:type="dxa"/>
              <w:bottom w:w="57" w:type="dxa"/>
            </w:tcMar>
            <w:vAlign w:val="center"/>
          </w:tcPr>
          <w:p w14:paraId="22F79FBD">
            <w:pPr>
              <w:pStyle w:val="18"/>
              <w:adjustRightInd w:val="0"/>
              <w:snapToGrid w:val="0"/>
              <w:spacing w:line="48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具 体 信 息 或 数 据</w:t>
            </w:r>
          </w:p>
        </w:tc>
      </w:tr>
      <w:tr w14:paraId="16D6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95" w:type="dxa"/>
            <w:tcMar>
              <w:top w:w="57" w:type="dxa"/>
              <w:bottom w:w="57" w:type="dxa"/>
            </w:tcMar>
            <w:vAlign w:val="center"/>
          </w:tcPr>
          <w:p w14:paraId="062648EC">
            <w:pPr>
              <w:pStyle w:val="18"/>
              <w:adjustRightInd w:val="0"/>
              <w:snapToGrid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94" w:type="dxa"/>
            <w:tcMar>
              <w:top w:w="57" w:type="dxa"/>
              <w:bottom w:w="57" w:type="dxa"/>
            </w:tcMar>
            <w:vAlign w:val="center"/>
          </w:tcPr>
          <w:p w14:paraId="18108853">
            <w:pPr>
              <w:pStyle w:val="18"/>
              <w:adjustRightInd w:val="0"/>
              <w:snapToGrid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8306" w:type="dxa"/>
            <w:tcMar>
              <w:top w:w="57" w:type="dxa"/>
              <w:bottom w:w="57" w:type="dxa"/>
            </w:tcMar>
            <w:vAlign w:val="center"/>
          </w:tcPr>
          <w:p w14:paraId="4D7B6DEF">
            <w:pPr>
              <w:pStyle w:val="18"/>
              <w:adjustRightInd w:val="0"/>
              <w:snapToGrid w:val="0"/>
              <w:spacing w:line="48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b/>
                <w:bCs/>
                <w:color w:val="auto"/>
                <w:sz w:val="21"/>
                <w:szCs w:val="21"/>
                <w:highlight w:val="none"/>
                <w:lang w:eastAsia="zh-CN"/>
              </w:rPr>
              <w:t>中国科学院软件研究所食堂服务招商项目</w:t>
            </w:r>
          </w:p>
          <w:p w14:paraId="40A3E1BD">
            <w:pPr>
              <w:pStyle w:val="18"/>
              <w:adjustRightInd w:val="0"/>
              <w:snapToGrid w:val="0"/>
              <w:spacing w:line="48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eastAsia="宋体" w:cs="宋体"/>
                <w:b/>
                <w:bCs/>
                <w:color w:val="auto"/>
                <w:sz w:val="21"/>
                <w:szCs w:val="21"/>
                <w:highlight w:val="none"/>
                <w:lang w:eastAsia="zh-CN"/>
              </w:rPr>
              <w:t>GXCZ-C-26500056</w:t>
            </w:r>
          </w:p>
        </w:tc>
      </w:tr>
      <w:tr w14:paraId="630A2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595" w:type="dxa"/>
            <w:tcMar>
              <w:top w:w="57" w:type="dxa"/>
              <w:bottom w:w="57" w:type="dxa"/>
            </w:tcMar>
            <w:vAlign w:val="center"/>
          </w:tcPr>
          <w:p w14:paraId="12F9CDE5">
            <w:pPr>
              <w:pStyle w:val="18"/>
              <w:adjustRightInd w:val="0"/>
              <w:snapToGrid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94" w:type="dxa"/>
            <w:tcMar>
              <w:top w:w="57" w:type="dxa"/>
              <w:bottom w:w="57" w:type="dxa"/>
            </w:tcMar>
            <w:vAlign w:val="center"/>
          </w:tcPr>
          <w:p w14:paraId="20CF73FE">
            <w:pPr>
              <w:pStyle w:val="18"/>
              <w:adjustRightInd w:val="0"/>
              <w:snapToGrid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8306" w:type="dxa"/>
            <w:tcMar>
              <w:top w:w="57" w:type="dxa"/>
              <w:bottom w:w="57" w:type="dxa"/>
            </w:tcMar>
            <w:vAlign w:val="center"/>
          </w:tcPr>
          <w:p w14:paraId="63D56597">
            <w:pPr>
              <w:pStyle w:val="18"/>
              <w:adjustRightInd w:val="0"/>
              <w:snapToGrid w:val="0"/>
              <w:spacing w:line="48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eastAsia="zh-CN"/>
              </w:rPr>
              <w:t>中国科学院软件研究所</w:t>
            </w:r>
          </w:p>
        </w:tc>
      </w:tr>
      <w:tr w14:paraId="6FAE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95" w:type="dxa"/>
            <w:tcMar>
              <w:top w:w="57" w:type="dxa"/>
              <w:bottom w:w="57" w:type="dxa"/>
            </w:tcMar>
            <w:vAlign w:val="center"/>
          </w:tcPr>
          <w:p w14:paraId="147F0BEA">
            <w:pPr>
              <w:pStyle w:val="18"/>
              <w:adjustRightInd w:val="0"/>
              <w:snapToGrid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94" w:type="dxa"/>
            <w:tcMar>
              <w:top w:w="57" w:type="dxa"/>
              <w:bottom w:w="57" w:type="dxa"/>
            </w:tcMar>
            <w:vAlign w:val="center"/>
          </w:tcPr>
          <w:p w14:paraId="3EDB997D">
            <w:pPr>
              <w:pStyle w:val="18"/>
              <w:adjustRightInd w:val="0"/>
              <w:snapToGrid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8306" w:type="dxa"/>
            <w:tcMar>
              <w:top w:w="57" w:type="dxa"/>
              <w:bottom w:w="57" w:type="dxa"/>
            </w:tcMar>
            <w:vAlign w:val="center"/>
          </w:tcPr>
          <w:p w14:paraId="170ECA81">
            <w:pPr>
              <w:pStyle w:val="18"/>
              <w:adjustRightInd w:val="0"/>
              <w:snapToGrid w:val="0"/>
              <w:spacing w:line="48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服务期限为：</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年。</w:t>
            </w:r>
          </w:p>
        </w:tc>
      </w:tr>
      <w:tr w14:paraId="5B80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95" w:type="dxa"/>
            <w:tcMar>
              <w:top w:w="57" w:type="dxa"/>
              <w:bottom w:w="57" w:type="dxa"/>
            </w:tcMar>
            <w:vAlign w:val="center"/>
          </w:tcPr>
          <w:p w14:paraId="0FD6E7C3">
            <w:pPr>
              <w:pStyle w:val="18"/>
              <w:adjustRightInd w:val="0"/>
              <w:snapToGrid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94" w:type="dxa"/>
            <w:tcMar>
              <w:top w:w="57" w:type="dxa"/>
              <w:bottom w:w="57" w:type="dxa"/>
            </w:tcMar>
            <w:vAlign w:val="center"/>
          </w:tcPr>
          <w:p w14:paraId="6FB3159F">
            <w:pPr>
              <w:pStyle w:val="18"/>
              <w:adjustRightInd w:val="0"/>
              <w:snapToGrid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8306" w:type="dxa"/>
            <w:tcMar>
              <w:top w:w="57" w:type="dxa"/>
              <w:bottom w:w="57" w:type="dxa"/>
            </w:tcMar>
            <w:vAlign w:val="center"/>
          </w:tcPr>
          <w:p w14:paraId="71A5EEAE">
            <w:pPr>
              <w:pStyle w:val="18"/>
              <w:adjustRightInd w:val="0"/>
              <w:snapToGrid w:val="0"/>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合格比选供应商必须同时满足下述资格条件：</w:t>
            </w:r>
          </w:p>
          <w:p w14:paraId="2EA30729">
            <w:pPr>
              <w:pStyle w:val="18"/>
              <w:adjustRightInd w:val="0"/>
              <w:snapToGrid w:val="0"/>
              <w:spacing w:line="48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A.具备中华人民共和国独立法人资格，有效合法的注册资质（企业法人营业执照、税务登记证、组织机构代码证等合法有效，已完成“三证合一”登记制度改革的，须提供由工商部门核发的已加载统一社会信用代码的营业执照），营业执照经营范围须覆盖本项目服务范围</w:t>
            </w:r>
            <w:r>
              <w:rPr>
                <w:rFonts w:hint="eastAsia" w:ascii="宋体" w:hAnsi="宋体" w:eastAsia="宋体" w:cs="宋体"/>
                <w:color w:val="auto"/>
                <w:sz w:val="21"/>
                <w:szCs w:val="21"/>
                <w:highlight w:val="none"/>
                <w:lang w:eastAsia="zh-CN"/>
              </w:rPr>
              <w:t>；</w:t>
            </w:r>
          </w:p>
          <w:p w14:paraId="5E3AE8DA">
            <w:pPr>
              <w:pStyle w:val="18"/>
              <w:adjustRightInd w:val="0"/>
              <w:snapToGrid w:val="0"/>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B.遵守国家法律、法规，企业财务状况良好、企业信誉良好，最近3年在经营活动中没有违法、违规记录，不得存在下列情形之一：被责令停业或破产状态的，财产被接管或冻结的，被暂停或取消投标资格的；</w:t>
            </w:r>
          </w:p>
          <w:p w14:paraId="1D905769">
            <w:pPr>
              <w:pStyle w:val="18"/>
              <w:adjustRightInd w:val="0"/>
              <w:snapToGrid w:val="0"/>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C.单位负责人为同一人或者</w:t>
            </w:r>
            <w:r>
              <w:rPr>
                <w:rFonts w:hint="eastAsia" w:ascii="宋体" w:hAnsi="宋体" w:eastAsia="宋体" w:cs="宋体"/>
                <w:color w:val="auto"/>
                <w:sz w:val="21"/>
                <w:szCs w:val="21"/>
                <w:highlight w:val="none"/>
                <w:lang w:eastAsia="zh-CN"/>
              </w:rPr>
              <w:t>存在直接控股</w:t>
            </w:r>
            <w:r>
              <w:rPr>
                <w:rFonts w:hint="eastAsia" w:ascii="宋体" w:hAnsi="宋体" w:eastAsia="宋体" w:cs="宋体"/>
                <w:color w:val="auto"/>
                <w:sz w:val="21"/>
                <w:szCs w:val="21"/>
                <w:highlight w:val="none"/>
              </w:rPr>
              <w:t>、管理关系的不同单位，不得同时参加同本项目比选；</w:t>
            </w:r>
          </w:p>
          <w:p w14:paraId="174B667F">
            <w:pPr>
              <w:pStyle w:val="18"/>
              <w:adjustRightInd w:val="0"/>
              <w:snapToGrid w:val="0"/>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D须具备</w:t>
            </w:r>
            <w:r>
              <w:rPr>
                <w:rFonts w:hint="eastAsia" w:ascii="宋体" w:hAnsi="宋体" w:eastAsia="宋体" w:cs="宋体"/>
                <w:color w:val="auto"/>
                <w:sz w:val="21"/>
                <w:szCs w:val="21"/>
                <w:highlight w:val="none"/>
                <w:lang w:eastAsia="zh-CN"/>
              </w:rPr>
              <w:t>有效期内的《食品经营许可证》</w:t>
            </w:r>
            <w:r>
              <w:rPr>
                <w:rFonts w:hint="eastAsia" w:ascii="宋体" w:hAnsi="宋体" w:eastAsia="宋体" w:cs="宋体"/>
                <w:color w:val="auto"/>
                <w:sz w:val="21"/>
                <w:szCs w:val="21"/>
                <w:highlight w:val="none"/>
              </w:rPr>
              <w:t>；</w:t>
            </w:r>
          </w:p>
          <w:p w14:paraId="1E222DE6">
            <w:pPr>
              <w:pStyle w:val="18"/>
              <w:adjustRightInd w:val="0"/>
              <w:snapToGrid w:val="0"/>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E.被“信用中国”网站（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"http://www.creditchina.gov.cn）中列入失信被执行人和/"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www.creditchina.gov.cn）中列入失信被执行人和</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重大税收违法案件当事人名单的供应商无资格参加本项目的采购活动。</w:t>
            </w:r>
          </w:p>
        </w:tc>
      </w:tr>
      <w:tr w14:paraId="0423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95" w:type="dxa"/>
            <w:tcMar>
              <w:top w:w="57" w:type="dxa"/>
              <w:bottom w:w="57" w:type="dxa"/>
            </w:tcMar>
            <w:vAlign w:val="center"/>
          </w:tcPr>
          <w:p w14:paraId="01309493">
            <w:pPr>
              <w:pStyle w:val="18"/>
              <w:adjustRightInd w:val="0"/>
              <w:snapToGrid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994" w:type="dxa"/>
            <w:tcMar>
              <w:top w:w="57" w:type="dxa"/>
              <w:bottom w:w="57" w:type="dxa"/>
            </w:tcMar>
            <w:vAlign w:val="center"/>
          </w:tcPr>
          <w:p w14:paraId="6E5E2890">
            <w:pPr>
              <w:pStyle w:val="18"/>
              <w:adjustRightInd w:val="0"/>
              <w:snapToGrid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8306" w:type="dxa"/>
            <w:tcMar>
              <w:top w:w="57" w:type="dxa"/>
              <w:bottom w:w="57" w:type="dxa"/>
            </w:tcMar>
            <w:vAlign w:val="center"/>
          </w:tcPr>
          <w:p w14:paraId="03E8005A">
            <w:pPr>
              <w:kinsoku w:val="0"/>
              <w:overflowPunct w:val="0"/>
              <w:autoSpaceDE w:val="0"/>
              <w:autoSpaceDN w:val="0"/>
              <w:snapToGrid w:val="0"/>
              <w:spacing w:line="480" w:lineRule="auto"/>
              <w:ind w:left="31" w:left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现场踏勘：不组织踏勘。</w:t>
            </w:r>
          </w:p>
        </w:tc>
      </w:tr>
      <w:tr w14:paraId="1488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95" w:type="dxa"/>
            <w:tcMar>
              <w:top w:w="57" w:type="dxa"/>
              <w:bottom w:w="57" w:type="dxa"/>
            </w:tcMar>
            <w:vAlign w:val="center"/>
          </w:tcPr>
          <w:p w14:paraId="1BBEAD9B">
            <w:pPr>
              <w:pStyle w:val="18"/>
              <w:adjustRightInd w:val="0"/>
              <w:snapToGrid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994" w:type="dxa"/>
            <w:tcMar>
              <w:top w:w="57" w:type="dxa"/>
              <w:bottom w:w="57" w:type="dxa"/>
            </w:tcMar>
            <w:vAlign w:val="center"/>
          </w:tcPr>
          <w:p w14:paraId="3325A3A3">
            <w:pPr>
              <w:pStyle w:val="18"/>
              <w:adjustRightInd w:val="0"/>
              <w:snapToGrid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8306" w:type="dxa"/>
            <w:tcMar>
              <w:top w:w="57" w:type="dxa"/>
              <w:bottom w:w="57" w:type="dxa"/>
            </w:tcMar>
            <w:vAlign w:val="center"/>
          </w:tcPr>
          <w:p w14:paraId="04600B91">
            <w:pPr>
              <w:pStyle w:val="18"/>
              <w:adjustRightInd w:val="0"/>
              <w:snapToGrid w:val="0"/>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比选有效期：自比选响应文件递交截止之日起算90日历日</w:t>
            </w:r>
          </w:p>
        </w:tc>
      </w:tr>
      <w:tr w14:paraId="3213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95" w:type="dxa"/>
            <w:tcMar>
              <w:top w:w="57" w:type="dxa"/>
              <w:bottom w:w="57" w:type="dxa"/>
            </w:tcMar>
            <w:vAlign w:val="center"/>
          </w:tcPr>
          <w:p w14:paraId="5FE76944">
            <w:pPr>
              <w:pStyle w:val="18"/>
              <w:adjustRightInd w:val="0"/>
              <w:snapToGrid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994" w:type="dxa"/>
            <w:tcMar>
              <w:top w:w="57" w:type="dxa"/>
              <w:bottom w:w="57" w:type="dxa"/>
            </w:tcMar>
            <w:vAlign w:val="center"/>
          </w:tcPr>
          <w:p w14:paraId="4DDA1EF1">
            <w:pPr>
              <w:pStyle w:val="18"/>
              <w:adjustRightInd w:val="0"/>
              <w:snapToGrid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8306" w:type="dxa"/>
            <w:tcMar>
              <w:top w:w="57" w:type="dxa"/>
              <w:bottom w:w="57" w:type="dxa"/>
            </w:tcMar>
            <w:vAlign w:val="center"/>
          </w:tcPr>
          <w:p w14:paraId="1B005491">
            <w:pPr>
              <w:adjustRightInd w:val="0"/>
              <w:snapToGrid w:val="0"/>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比选保证金：本项目不收取保证金。</w:t>
            </w:r>
          </w:p>
        </w:tc>
      </w:tr>
      <w:tr w14:paraId="5EC2F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95" w:type="dxa"/>
            <w:tcMar>
              <w:top w:w="57" w:type="dxa"/>
              <w:bottom w:w="57" w:type="dxa"/>
            </w:tcMar>
            <w:vAlign w:val="center"/>
          </w:tcPr>
          <w:p w14:paraId="6C6CBE84">
            <w:pPr>
              <w:pStyle w:val="18"/>
              <w:adjustRightInd w:val="0"/>
              <w:snapToGrid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994" w:type="dxa"/>
            <w:tcMar>
              <w:top w:w="57" w:type="dxa"/>
              <w:bottom w:w="57" w:type="dxa"/>
            </w:tcMar>
            <w:vAlign w:val="center"/>
          </w:tcPr>
          <w:p w14:paraId="585C6E79">
            <w:pPr>
              <w:pStyle w:val="18"/>
              <w:adjustRightInd w:val="0"/>
              <w:snapToGrid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8306" w:type="dxa"/>
            <w:tcMar>
              <w:top w:w="57" w:type="dxa"/>
              <w:bottom w:w="57" w:type="dxa"/>
            </w:tcMar>
            <w:vAlign w:val="center"/>
          </w:tcPr>
          <w:p w14:paraId="1DA87AD2">
            <w:pPr>
              <w:pStyle w:val="18"/>
              <w:adjustRightInd w:val="0"/>
              <w:snapToGrid w:val="0"/>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比选响应文件的份数：正本</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份，副本</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份，电子文档</w:t>
            </w:r>
            <w:r>
              <w:rPr>
                <w:rFonts w:hint="eastAsia" w:ascii="宋体" w:hAnsi="宋体" w:eastAsia="宋体" w:cs="宋体"/>
                <w:color w:val="auto"/>
                <w:sz w:val="21"/>
                <w:szCs w:val="21"/>
                <w:highlight w:val="none"/>
                <w:u w:val="single"/>
              </w:rPr>
              <w:t>2</w:t>
            </w:r>
            <w:r>
              <w:rPr>
                <w:rFonts w:hint="eastAsia" w:ascii="宋体" w:hAnsi="宋体" w:eastAsia="宋体" w:cs="宋体"/>
                <w:color w:val="auto"/>
                <w:sz w:val="21"/>
                <w:szCs w:val="21"/>
                <w:highlight w:val="none"/>
              </w:rPr>
              <w:t>份（U盘）</w:t>
            </w:r>
          </w:p>
        </w:tc>
      </w:tr>
      <w:tr w14:paraId="19D3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595" w:type="dxa"/>
            <w:tcMar>
              <w:top w:w="57" w:type="dxa"/>
              <w:bottom w:w="57" w:type="dxa"/>
            </w:tcMar>
            <w:vAlign w:val="center"/>
          </w:tcPr>
          <w:p w14:paraId="414CA555">
            <w:pPr>
              <w:pStyle w:val="18"/>
              <w:adjustRightInd w:val="0"/>
              <w:snapToGrid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994" w:type="dxa"/>
            <w:tcMar>
              <w:top w:w="57" w:type="dxa"/>
              <w:bottom w:w="57" w:type="dxa"/>
            </w:tcMar>
            <w:vAlign w:val="center"/>
          </w:tcPr>
          <w:p w14:paraId="0CD2A58B">
            <w:pPr>
              <w:pStyle w:val="18"/>
              <w:adjustRightInd w:val="0"/>
              <w:snapToGrid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w:t>
            </w:r>
          </w:p>
        </w:tc>
        <w:tc>
          <w:tcPr>
            <w:tcW w:w="8306" w:type="dxa"/>
            <w:tcMar>
              <w:top w:w="57" w:type="dxa"/>
              <w:bottom w:w="57" w:type="dxa"/>
            </w:tcMar>
            <w:vAlign w:val="center"/>
          </w:tcPr>
          <w:p w14:paraId="7D95DACD">
            <w:pPr>
              <w:adjustRightInd w:val="0"/>
              <w:snapToGrid w:val="0"/>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比选响应文件递交截止时间：</w:t>
            </w:r>
            <w:r>
              <w:rPr>
                <w:rFonts w:hint="eastAsia" w:ascii="宋体" w:hAnsi="宋体" w:eastAsia="宋体" w:cs="宋体"/>
                <w:b/>
                <w:bCs/>
                <w:color w:val="auto"/>
                <w:sz w:val="21"/>
                <w:szCs w:val="21"/>
                <w:highlight w:val="none"/>
                <w:lang w:eastAsia="zh-CN"/>
              </w:rPr>
              <w:t>2026年5月20日14：00</w:t>
            </w:r>
            <w:r>
              <w:rPr>
                <w:rFonts w:hint="eastAsia" w:ascii="宋体" w:hAnsi="宋体" w:eastAsia="宋体" w:cs="宋体"/>
                <w:color w:val="auto"/>
                <w:sz w:val="21"/>
                <w:szCs w:val="21"/>
                <w:highlight w:val="none"/>
              </w:rPr>
              <w:t>（北京时间）</w:t>
            </w:r>
          </w:p>
          <w:p w14:paraId="7BFE1F2C">
            <w:pPr>
              <w:adjustRightInd w:val="0"/>
              <w:snapToGrid w:val="0"/>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比选响应文件递交地点：北京市海淀区四季青常青路和泓四季6号楼会议室</w:t>
            </w:r>
          </w:p>
        </w:tc>
      </w:tr>
      <w:tr w14:paraId="4A8C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95" w:type="dxa"/>
            <w:tcMar>
              <w:top w:w="57" w:type="dxa"/>
              <w:bottom w:w="57" w:type="dxa"/>
            </w:tcMar>
            <w:vAlign w:val="center"/>
          </w:tcPr>
          <w:p w14:paraId="03B6FECF">
            <w:pPr>
              <w:pStyle w:val="18"/>
              <w:adjustRightInd w:val="0"/>
              <w:snapToGrid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994" w:type="dxa"/>
            <w:tcMar>
              <w:top w:w="57" w:type="dxa"/>
              <w:bottom w:w="57" w:type="dxa"/>
            </w:tcMar>
            <w:vAlign w:val="center"/>
          </w:tcPr>
          <w:p w14:paraId="5C28C2D7">
            <w:pPr>
              <w:pStyle w:val="18"/>
              <w:adjustRightInd w:val="0"/>
              <w:snapToGrid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w:t>
            </w:r>
          </w:p>
        </w:tc>
        <w:tc>
          <w:tcPr>
            <w:tcW w:w="8306" w:type="dxa"/>
            <w:tcMar>
              <w:top w:w="57" w:type="dxa"/>
              <w:bottom w:w="57" w:type="dxa"/>
            </w:tcMar>
            <w:vAlign w:val="center"/>
          </w:tcPr>
          <w:p w14:paraId="35CE7E61">
            <w:pPr>
              <w:adjustRightInd w:val="0"/>
              <w:snapToGrid w:val="0"/>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比选时间：</w:t>
            </w:r>
            <w:r>
              <w:rPr>
                <w:rFonts w:hint="eastAsia" w:ascii="宋体" w:hAnsi="宋体" w:eastAsia="宋体" w:cs="宋体"/>
                <w:b/>
                <w:bCs/>
                <w:color w:val="auto"/>
                <w:sz w:val="21"/>
                <w:szCs w:val="21"/>
                <w:highlight w:val="none"/>
                <w:lang w:eastAsia="zh-CN"/>
              </w:rPr>
              <w:t>2026年5月20日14：00</w:t>
            </w:r>
            <w:r>
              <w:rPr>
                <w:rFonts w:hint="eastAsia" w:ascii="宋体" w:hAnsi="宋体" w:eastAsia="宋体" w:cs="宋体"/>
                <w:color w:val="auto"/>
                <w:sz w:val="21"/>
                <w:szCs w:val="21"/>
                <w:highlight w:val="none"/>
              </w:rPr>
              <w:t>（北京时间）</w:t>
            </w:r>
          </w:p>
          <w:p w14:paraId="5F56888D">
            <w:pPr>
              <w:adjustRightInd w:val="0"/>
              <w:snapToGrid w:val="0"/>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比选地点：北京市海淀区四季青常青路和泓四季6号楼会议室</w:t>
            </w:r>
          </w:p>
        </w:tc>
      </w:tr>
      <w:tr w14:paraId="4EB3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95" w:type="dxa"/>
            <w:tcMar>
              <w:top w:w="57" w:type="dxa"/>
              <w:bottom w:w="57" w:type="dxa"/>
            </w:tcMar>
            <w:vAlign w:val="center"/>
          </w:tcPr>
          <w:p w14:paraId="775CE4A4">
            <w:pPr>
              <w:pStyle w:val="18"/>
              <w:adjustRightInd w:val="0"/>
              <w:snapToGrid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994" w:type="dxa"/>
            <w:tcMar>
              <w:top w:w="57" w:type="dxa"/>
              <w:bottom w:w="57" w:type="dxa"/>
            </w:tcMar>
            <w:vAlign w:val="center"/>
          </w:tcPr>
          <w:p w14:paraId="2E360440">
            <w:pPr>
              <w:pStyle w:val="18"/>
              <w:adjustRightInd w:val="0"/>
              <w:snapToGrid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w:t>
            </w:r>
          </w:p>
        </w:tc>
        <w:tc>
          <w:tcPr>
            <w:tcW w:w="8306" w:type="dxa"/>
            <w:tcMar>
              <w:top w:w="57" w:type="dxa"/>
              <w:bottom w:w="57" w:type="dxa"/>
            </w:tcMar>
            <w:vAlign w:val="center"/>
          </w:tcPr>
          <w:p w14:paraId="6F7403D2">
            <w:pPr>
              <w:pStyle w:val="18"/>
              <w:adjustRightInd w:val="0"/>
              <w:snapToGrid w:val="0"/>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评审办法：综合评分法</w:t>
            </w:r>
          </w:p>
        </w:tc>
      </w:tr>
      <w:tr w14:paraId="1065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895" w:type="dxa"/>
            <w:gridSpan w:val="3"/>
            <w:tcMar>
              <w:top w:w="57" w:type="dxa"/>
              <w:bottom w:w="57" w:type="dxa"/>
            </w:tcMar>
            <w:vAlign w:val="center"/>
          </w:tcPr>
          <w:p w14:paraId="43F47CA3">
            <w:pPr>
              <w:spacing w:line="48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服务费：按固定</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万元向成交人收取，</w:t>
            </w:r>
            <w:r>
              <w:rPr>
                <w:rFonts w:hint="eastAsia" w:ascii="宋体" w:hAnsi="宋体" w:eastAsia="宋体" w:cs="宋体"/>
                <w:color w:val="auto"/>
                <w:sz w:val="21"/>
                <w:szCs w:val="21"/>
                <w:highlight w:val="none"/>
                <w:lang w:val="en-US" w:eastAsia="zh-CN"/>
              </w:rPr>
              <w:t>由成交人向</w:t>
            </w:r>
            <w:r>
              <w:rPr>
                <w:rFonts w:hint="eastAsia" w:ascii="宋体" w:hAnsi="宋体" w:eastAsia="宋体" w:cs="宋体"/>
                <w:color w:val="auto"/>
                <w:sz w:val="21"/>
                <w:szCs w:val="21"/>
                <w:highlight w:val="none"/>
              </w:rPr>
              <w:t>咨询机构付清</w:t>
            </w:r>
            <w:r>
              <w:rPr>
                <w:rFonts w:hint="eastAsia" w:ascii="宋体" w:hAnsi="宋体" w:eastAsia="宋体" w:cs="宋体"/>
                <w:color w:val="auto"/>
                <w:sz w:val="21"/>
                <w:szCs w:val="21"/>
                <w:highlight w:val="none"/>
                <w:lang w:eastAsia="zh-CN"/>
              </w:rPr>
              <w:t>。</w:t>
            </w:r>
          </w:p>
          <w:p w14:paraId="4866BBC4">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服务费户：</w:t>
            </w:r>
          </w:p>
          <w:p w14:paraId="0E8E68AA">
            <w:pPr>
              <w:spacing w:line="48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lang w:eastAsia="zh-CN"/>
              </w:rPr>
              <w:t>国信招标集团股份有限公司北京第三分公司</w:t>
            </w:r>
          </w:p>
          <w:p w14:paraId="459E37B5">
            <w:pPr>
              <w:spacing w:line="48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lang w:eastAsia="zh-CN"/>
              </w:rPr>
              <w:t>招商银行北京世纪城支行</w:t>
            </w:r>
          </w:p>
          <w:p w14:paraId="0A93791A">
            <w:pPr>
              <w:spacing w:line="48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lang w:eastAsia="zh-CN"/>
              </w:rPr>
              <w:t>1109379575105012600010714</w:t>
            </w:r>
          </w:p>
        </w:tc>
      </w:tr>
    </w:tbl>
    <w:p w14:paraId="59E146C6">
      <w:pPr>
        <w:rPr>
          <w:rFonts w:hint="eastAsia" w:ascii="宋体" w:hAnsi="宋体" w:eastAsia="宋体" w:cs="宋体"/>
          <w:color w:val="000000"/>
          <w:sz w:val="32"/>
          <w:highlight w:val="none"/>
        </w:rPr>
      </w:pPr>
      <w:bookmarkStart w:id="7" w:name="_Toc68963461"/>
      <w:bookmarkStart w:id="8" w:name="_Toc32342"/>
      <w:r>
        <w:rPr>
          <w:rFonts w:hint="eastAsia" w:ascii="宋体" w:hAnsi="宋体" w:eastAsia="宋体" w:cs="宋体"/>
          <w:color w:val="000000"/>
          <w:sz w:val="32"/>
          <w:highlight w:val="none"/>
        </w:rPr>
        <w:br w:type="page"/>
      </w:r>
    </w:p>
    <w:p w14:paraId="67E870D5">
      <w:pPr>
        <w:pStyle w:val="3"/>
        <w:rPr>
          <w:rFonts w:hint="eastAsia" w:ascii="宋体" w:hAnsi="宋体" w:eastAsia="宋体" w:cs="宋体"/>
          <w:color w:val="000000"/>
          <w:sz w:val="32"/>
          <w:highlight w:val="none"/>
        </w:rPr>
      </w:pPr>
      <w:bookmarkStart w:id="9" w:name="_Toc21498"/>
      <w:bookmarkStart w:id="10" w:name="_Toc18421"/>
      <w:bookmarkStart w:id="11" w:name="_Toc12102"/>
      <w:r>
        <w:rPr>
          <w:rFonts w:hint="eastAsia" w:ascii="宋体" w:hAnsi="宋体" w:eastAsia="宋体" w:cs="宋体"/>
          <w:color w:val="000000"/>
          <w:sz w:val="32"/>
          <w:highlight w:val="none"/>
        </w:rPr>
        <w:t>一、总则</w:t>
      </w:r>
      <w:bookmarkEnd w:id="7"/>
      <w:bookmarkEnd w:id="8"/>
      <w:bookmarkEnd w:id="9"/>
      <w:bookmarkEnd w:id="10"/>
      <w:bookmarkEnd w:id="11"/>
    </w:p>
    <w:p w14:paraId="0CDAF366">
      <w:pPr>
        <w:numPr>
          <w:ilvl w:val="0"/>
          <w:numId w:val="2"/>
        </w:numPr>
        <w:adjustRightInd w:val="0"/>
        <w:snapToGrid w:val="0"/>
        <w:spacing w:line="360" w:lineRule="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概述</w:t>
      </w:r>
    </w:p>
    <w:p w14:paraId="5D802193">
      <w:pPr>
        <w:numPr>
          <w:ilvl w:val="1"/>
          <w:numId w:val="3"/>
        </w:num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适用范围：本比选文件仅适用于第一章“比选邀请书”中所述项目。</w:t>
      </w:r>
    </w:p>
    <w:p w14:paraId="66EA38D8">
      <w:pPr>
        <w:numPr>
          <w:ilvl w:val="1"/>
          <w:numId w:val="3"/>
        </w:num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定义：</w:t>
      </w:r>
    </w:p>
    <w:p w14:paraId="57EC35EF">
      <w:pPr>
        <w:adjustRightInd w:val="0"/>
        <w:snapToGrid w:val="0"/>
        <w:spacing w:line="36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1.2.1本项目：系指</w:t>
      </w:r>
      <w:r>
        <w:rPr>
          <w:rFonts w:hint="eastAsia" w:ascii="宋体" w:hAnsi="宋体" w:eastAsia="宋体" w:cs="宋体"/>
          <w:color w:val="000000"/>
          <w:sz w:val="21"/>
          <w:szCs w:val="21"/>
          <w:highlight w:val="none"/>
          <w:lang w:eastAsia="zh-CN"/>
        </w:rPr>
        <w:t>中国科学院软件研究所食堂服务招商项目</w:t>
      </w:r>
    </w:p>
    <w:p w14:paraId="7BC741E8">
      <w:p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1.2.2采购人：系指</w:t>
      </w:r>
      <w:r>
        <w:rPr>
          <w:rFonts w:hint="eastAsia" w:ascii="宋体" w:hAnsi="宋体" w:eastAsia="宋体" w:cs="宋体"/>
          <w:color w:val="000000"/>
          <w:sz w:val="21"/>
          <w:szCs w:val="21"/>
          <w:highlight w:val="none"/>
          <w:lang w:eastAsia="zh-CN"/>
        </w:rPr>
        <w:t>中国科学院软件研究所</w:t>
      </w:r>
      <w:r>
        <w:rPr>
          <w:rFonts w:hint="eastAsia" w:ascii="宋体" w:hAnsi="宋体" w:eastAsia="宋体" w:cs="宋体"/>
          <w:color w:val="000000"/>
          <w:sz w:val="21"/>
          <w:szCs w:val="21"/>
          <w:highlight w:val="none"/>
        </w:rPr>
        <w:t>。</w:t>
      </w:r>
    </w:p>
    <w:p w14:paraId="7CD6D62E">
      <w:p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1.2.3比选供应商系指响应采购人要求，向采购人提交比选响应文件的服务组织。</w:t>
      </w:r>
    </w:p>
    <w:p w14:paraId="520E900B">
      <w:pPr>
        <w:numPr>
          <w:ilvl w:val="1"/>
          <w:numId w:val="3"/>
        </w:num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本项目将按照公开、公平、公正的原则，通过比选择优选定服务单位。</w:t>
      </w:r>
    </w:p>
    <w:p w14:paraId="48A64DCA">
      <w:pPr>
        <w:numPr>
          <w:ilvl w:val="0"/>
          <w:numId w:val="2"/>
        </w:numPr>
        <w:adjustRightInd w:val="0"/>
        <w:snapToGrid w:val="0"/>
        <w:spacing w:line="360" w:lineRule="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比选范围</w:t>
      </w:r>
    </w:p>
    <w:p w14:paraId="68C78F90">
      <w:pPr>
        <w:adjustRightInd w:val="0"/>
        <w:snapToGrid w:val="0"/>
        <w:spacing w:line="360" w:lineRule="auto"/>
        <w:rPr>
          <w:rFonts w:hint="eastAsia" w:ascii="宋体" w:hAnsi="宋体" w:eastAsia="宋体" w:cs="宋体"/>
          <w:b/>
          <w:bCs/>
          <w:color w:val="000000"/>
          <w:sz w:val="21"/>
          <w:szCs w:val="21"/>
          <w:highlight w:val="none"/>
        </w:rPr>
      </w:pPr>
      <w:r>
        <w:rPr>
          <w:rFonts w:hint="eastAsia" w:ascii="宋体" w:hAnsi="宋体" w:eastAsia="宋体" w:cs="宋体"/>
          <w:bCs/>
          <w:color w:val="000000"/>
          <w:sz w:val="21"/>
          <w:szCs w:val="21"/>
          <w:highlight w:val="none"/>
        </w:rPr>
        <w:t>2.1</w:t>
      </w:r>
      <w:r>
        <w:rPr>
          <w:rFonts w:hint="eastAsia" w:ascii="宋体" w:hAnsi="宋体" w:eastAsia="宋体" w:cs="宋体"/>
          <w:color w:val="000000"/>
          <w:sz w:val="21"/>
          <w:szCs w:val="21"/>
          <w:highlight w:val="none"/>
        </w:rPr>
        <w:t xml:space="preserve">详见第四章 </w:t>
      </w:r>
      <w:r>
        <w:rPr>
          <w:rFonts w:hint="eastAsia" w:ascii="宋体" w:hAnsi="宋体" w:eastAsia="宋体" w:cs="宋体"/>
          <w:bCs/>
          <w:color w:val="000000"/>
          <w:kern w:val="44"/>
          <w:sz w:val="21"/>
          <w:szCs w:val="21"/>
          <w:highlight w:val="none"/>
        </w:rPr>
        <w:t>技术服务需求及说明</w:t>
      </w:r>
    </w:p>
    <w:p w14:paraId="07F3C9F5">
      <w:pPr>
        <w:numPr>
          <w:ilvl w:val="0"/>
          <w:numId w:val="2"/>
        </w:numPr>
        <w:adjustRightInd w:val="0"/>
        <w:snapToGrid w:val="0"/>
        <w:spacing w:line="360" w:lineRule="auto"/>
        <w:rPr>
          <w:rFonts w:hint="eastAsia" w:ascii="宋体" w:hAnsi="宋体" w:eastAsia="宋体" w:cs="宋体"/>
          <w:b/>
          <w:bCs/>
          <w:color w:val="000000"/>
          <w:sz w:val="21"/>
          <w:szCs w:val="21"/>
          <w:highlight w:val="none"/>
        </w:rPr>
      </w:pPr>
      <w:bookmarkStart w:id="12" w:name="_Toc23613344"/>
      <w:r>
        <w:rPr>
          <w:rFonts w:hint="eastAsia" w:ascii="宋体" w:hAnsi="宋体" w:eastAsia="宋体" w:cs="宋体"/>
          <w:b/>
          <w:bCs/>
          <w:color w:val="000000"/>
          <w:sz w:val="21"/>
          <w:szCs w:val="21"/>
          <w:highlight w:val="none"/>
        </w:rPr>
        <w:t>比选供应商的资格</w:t>
      </w:r>
      <w:bookmarkEnd w:id="12"/>
    </w:p>
    <w:p w14:paraId="48B79A64">
      <w:p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3.1详见“比选供应商须知前附表”。</w:t>
      </w:r>
    </w:p>
    <w:p w14:paraId="4B1ECEA1">
      <w:p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3.2本项目采购活动中查询及使用信用记录的规定，具体要求为：</w:t>
      </w:r>
    </w:p>
    <w:p w14:paraId="67C0A39F">
      <w:p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3.2.1信用信息查询的截止时点：递交首次响应文件截止时间。</w:t>
      </w:r>
    </w:p>
    <w:p w14:paraId="0DA4046E">
      <w:p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3.2.2查询渠道：“信用中国”网站（www.creditchina.gov.cn）；</w:t>
      </w:r>
    </w:p>
    <w:p w14:paraId="594CD9C8">
      <w:p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3.2.3信用信息查询记录和证据留存具体方式：将经查询存在不良信用记录的潜在供应商的查询结果网页截图作为查询记录和证据，与其他比选文件一并保存；</w:t>
      </w:r>
    </w:p>
    <w:p w14:paraId="44009E04">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3.2.4信用信息的使用规则：本采购项目的供应商在信用信息查询截止时点（含）之前存在第一章比选邀请书“供应商资格”中所述不良信用记录的，不得参与比选。</w:t>
      </w:r>
    </w:p>
    <w:p w14:paraId="271C6A80">
      <w:pPr>
        <w:numPr>
          <w:ilvl w:val="0"/>
          <w:numId w:val="2"/>
        </w:numPr>
        <w:adjustRightInd w:val="0"/>
        <w:snapToGrid w:val="0"/>
        <w:spacing w:line="360" w:lineRule="auto"/>
        <w:rPr>
          <w:rFonts w:hint="eastAsia" w:ascii="宋体" w:hAnsi="宋体" w:eastAsia="宋体" w:cs="宋体"/>
          <w:b/>
          <w:bCs/>
          <w:color w:val="000000"/>
          <w:sz w:val="21"/>
          <w:szCs w:val="21"/>
          <w:highlight w:val="none"/>
        </w:rPr>
      </w:pPr>
      <w:bookmarkStart w:id="13" w:name="_Toc23613345"/>
      <w:r>
        <w:rPr>
          <w:rFonts w:hint="eastAsia" w:ascii="宋体" w:hAnsi="宋体" w:eastAsia="宋体" w:cs="宋体"/>
          <w:b/>
          <w:bCs/>
          <w:color w:val="000000"/>
          <w:sz w:val="21"/>
          <w:szCs w:val="21"/>
          <w:highlight w:val="none"/>
        </w:rPr>
        <w:t>比选费用</w:t>
      </w:r>
      <w:bookmarkEnd w:id="13"/>
    </w:p>
    <w:p w14:paraId="17515DDE">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服务费：按固定</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万元向</w:t>
      </w:r>
      <w:r>
        <w:rPr>
          <w:rFonts w:hint="eastAsia" w:ascii="宋体" w:hAnsi="宋体" w:eastAsia="宋体" w:cs="宋体"/>
          <w:color w:val="000000"/>
          <w:sz w:val="21"/>
          <w:szCs w:val="21"/>
          <w:highlight w:val="none"/>
          <w:lang w:val="en-US" w:eastAsia="zh-CN"/>
        </w:rPr>
        <w:t>成交人</w:t>
      </w:r>
      <w:r>
        <w:rPr>
          <w:rFonts w:hint="eastAsia" w:ascii="宋体" w:hAnsi="宋体" w:eastAsia="宋体" w:cs="宋体"/>
          <w:color w:val="000000"/>
          <w:sz w:val="21"/>
          <w:szCs w:val="21"/>
          <w:highlight w:val="none"/>
        </w:rPr>
        <w:t>收取。</w:t>
      </w:r>
    </w:p>
    <w:p w14:paraId="1AB05F0A">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服务费户：</w:t>
      </w:r>
    </w:p>
    <w:p w14:paraId="4DBC8F6F">
      <w:pPr>
        <w:spacing w:line="36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开户名称：</w:t>
      </w:r>
      <w:r>
        <w:rPr>
          <w:rFonts w:hint="eastAsia" w:ascii="宋体" w:hAnsi="宋体" w:eastAsia="宋体" w:cs="宋体"/>
          <w:color w:val="000000"/>
          <w:sz w:val="21"/>
          <w:szCs w:val="21"/>
          <w:highlight w:val="none"/>
          <w:lang w:eastAsia="zh-CN"/>
        </w:rPr>
        <w:t>国信招标集团股份有限公司北京第三分公司</w:t>
      </w:r>
    </w:p>
    <w:p w14:paraId="7B4E5963">
      <w:pPr>
        <w:spacing w:line="36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开户银行：</w:t>
      </w:r>
      <w:r>
        <w:rPr>
          <w:rFonts w:hint="eastAsia" w:ascii="宋体" w:hAnsi="宋体" w:eastAsia="宋体" w:cs="宋体"/>
          <w:color w:val="000000"/>
          <w:sz w:val="21"/>
          <w:szCs w:val="21"/>
          <w:highlight w:val="none"/>
          <w:lang w:eastAsia="zh-CN"/>
        </w:rPr>
        <w:t>招商银行北京世纪城支行</w:t>
      </w:r>
    </w:p>
    <w:p w14:paraId="26C4C147">
      <w:pPr>
        <w:pStyle w:val="31"/>
        <w:spacing w:line="360" w:lineRule="auto"/>
        <w:ind w:left="0" w:firstLine="0"/>
        <w:rPr>
          <w:rFonts w:hint="eastAsia" w:ascii="宋体" w:hAnsi="宋体" w:eastAsia="宋体" w:cs="宋体"/>
          <w:sz w:val="21"/>
          <w:szCs w:val="21"/>
          <w:highlight w:val="none"/>
          <w:lang w:eastAsia="zh-CN"/>
        </w:rPr>
      </w:pPr>
      <w:r>
        <w:rPr>
          <w:rFonts w:hint="eastAsia" w:ascii="宋体" w:hAnsi="宋体" w:eastAsia="宋体" w:cs="宋体"/>
          <w:color w:val="000000"/>
          <w:sz w:val="21"/>
          <w:szCs w:val="21"/>
          <w:highlight w:val="none"/>
        </w:rPr>
        <w:t>银行账号：</w:t>
      </w:r>
      <w:r>
        <w:rPr>
          <w:rFonts w:hint="eastAsia" w:ascii="宋体" w:hAnsi="宋体" w:eastAsia="宋体" w:cs="宋体"/>
          <w:color w:val="000000"/>
          <w:sz w:val="21"/>
          <w:szCs w:val="21"/>
          <w:highlight w:val="none"/>
          <w:lang w:eastAsia="zh-CN"/>
        </w:rPr>
        <w:t>1109379575105012600010714</w:t>
      </w:r>
    </w:p>
    <w:p w14:paraId="1DECF416">
      <w:pPr>
        <w:numPr>
          <w:ilvl w:val="0"/>
          <w:numId w:val="2"/>
        </w:numPr>
        <w:adjustRightInd w:val="0"/>
        <w:snapToGrid w:val="0"/>
        <w:spacing w:line="360" w:lineRule="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现场考察</w:t>
      </w:r>
    </w:p>
    <w:p w14:paraId="60EBB155">
      <w:pPr>
        <w:adjustRightInd w:val="0"/>
        <w:snapToGrid w:val="0"/>
        <w:spacing w:line="360" w:lineRule="auto"/>
        <w:ind w:left="425" w:hanging="371" w:hangingChars="177"/>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5.1比选供应商应按照本须知前附表中</w:t>
      </w:r>
      <w:r>
        <w:rPr>
          <w:rFonts w:hint="eastAsia" w:ascii="宋体" w:hAnsi="宋体" w:eastAsia="宋体" w:cs="宋体"/>
          <w:sz w:val="21"/>
          <w:szCs w:val="21"/>
          <w:highlight w:val="none"/>
        </w:rPr>
        <w:t>第5项</w:t>
      </w:r>
      <w:r>
        <w:rPr>
          <w:rFonts w:hint="eastAsia" w:ascii="宋体" w:hAnsi="宋体" w:eastAsia="宋体" w:cs="宋体"/>
          <w:color w:val="000000"/>
          <w:sz w:val="21"/>
          <w:szCs w:val="21"/>
          <w:highlight w:val="none"/>
        </w:rPr>
        <w:t>规定的时间和地点，参加由比选方统一组织的现场考察，了解项目情况，自行负责、获得有关编制比选响应文件和签订服务合同所必需的一切资料。</w:t>
      </w:r>
    </w:p>
    <w:p w14:paraId="63C5E994">
      <w:pPr>
        <w:adjustRightInd w:val="0"/>
        <w:snapToGrid w:val="0"/>
        <w:spacing w:line="360" w:lineRule="auto"/>
        <w:ind w:left="425" w:hanging="371" w:hangingChars="177"/>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5.2比选供应商考察现场以后，将被认为已经对项目的总体情况、服务工作难度、条件及当地的有关情况获得了解，并认为比选供应商已充分了解了自己成交后有可能承担的风险、责任和义务，比选供应商未按时派人参加现场考察的，视为自动放弃该权利，在比选、合同签订及履行时不得以不熟悉项目情况为由提出相关要求。</w:t>
      </w:r>
    </w:p>
    <w:p w14:paraId="282DE4BC">
      <w:pPr>
        <w:adjustRightInd w:val="0"/>
        <w:snapToGrid w:val="0"/>
        <w:spacing w:line="360" w:lineRule="auto"/>
        <w:ind w:left="425" w:hanging="371" w:hangingChars="177"/>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5.3考察现场过程中，比选供应商及其代表可能会对其自身或对第三方造成的人身伤害、财产损失或损坏，以及其他任何原因造成的损失、损坏或费用，必须由比选供应商及其代表自行承担。</w:t>
      </w:r>
    </w:p>
    <w:p w14:paraId="1733618A">
      <w:pPr>
        <w:adjustRightInd w:val="0"/>
        <w:snapToGrid w:val="0"/>
        <w:spacing w:line="360" w:lineRule="auto"/>
        <w:ind w:left="425" w:hanging="371" w:hangingChars="177"/>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5.4 在现场考察过程中，比选供应商只许委派1-2名代表参加，并严格遵守比选方提出的纪律要求。</w:t>
      </w:r>
    </w:p>
    <w:p w14:paraId="6A76F354">
      <w:pPr>
        <w:pStyle w:val="3"/>
        <w:spacing w:line="360" w:lineRule="auto"/>
        <w:rPr>
          <w:rFonts w:hint="eastAsia" w:ascii="宋体" w:hAnsi="宋体" w:eastAsia="宋体" w:cs="宋体"/>
          <w:color w:val="000000"/>
          <w:sz w:val="21"/>
          <w:szCs w:val="21"/>
          <w:highlight w:val="none"/>
        </w:rPr>
      </w:pPr>
      <w:bookmarkStart w:id="14" w:name="_Toc3227"/>
      <w:bookmarkStart w:id="15" w:name="_Toc21494"/>
      <w:bookmarkStart w:id="16" w:name="_Toc68963462"/>
      <w:bookmarkStart w:id="17" w:name="_Toc14548"/>
      <w:bookmarkStart w:id="18" w:name="_Toc24083811"/>
      <w:bookmarkStart w:id="19" w:name="_Toc23613348"/>
      <w:bookmarkStart w:id="20" w:name="_Toc27943"/>
      <w:bookmarkStart w:id="21" w:name="_Toc33340836"/>
      <w:bookmarkStart w:id="22" w:name="_Toc24455231"/>
      <w:r>
        <w:rPr>
          <w:rFonts w:hint="eastAsia" w:ascii="宋体" w:hAnsi="宋体" w:eastAsia="宋体" w:cs="宋体"/>
          <w:color w:val="000000"/>
          <w:sz w:val="21"/>
          <w:szCs w:val="21"/>
          <w:highlight w:val="none"/>
        </w:rPr>
        <w:t>二、比选文件</w:t>
      </w:r>
      <w:bookmarkEnd w:id="14"/>
      <w:bookmarkEnd w:id="15"/>
      <w:bookmarkEnd w:id="16"/>
      <w:bookmarkEnd w:id="17"/>
      <w:bookmarkEnd w:id="18"/>
      <w:bookmarkEnd w:id="19"/>
      <w:bookmarkEnd w:id="20"/>
      <w:bookmarkEnd w:id="21"/>
      <w:bookmarkEnd w:id="22"/>
    </w:p>
    <w:p w14:paraId="5D46C410">
      <w:pPr>
        <w:numPr>
          <w:ilvl w:val="0"/>
          <w:numId w:val="2"/>
        </w:numPr>
        <w:adjustRightInd w:val="0"/>
        <w:snapToGrid w:val="0"/>
        <w:spacing w:line="360" w:lineRule="auto"/>
        <w:rPr>
          <w:rFonts w:hint="eastAsia" w:ascii="宋体" w:hAnsi="宋体" w:eastAsia="宋体" w:cs="宋体"/>
          <w:b/>
          <w:bCs/>
          <w:color w:val="000000"/>
          <w:sz w:val="21"/>
          <w:szCs w:val="21"/>
          <w:highlight w:val="none"/>
        </w:rPr>
      </w:pPr>
      <w:bookmarkStart w:id="23" w:name="_Toc23613349"/>
      <w:r>
        <w:rPr>
          <w:rFonts w:hint="eastAsia" w:ascii="宋体" w:hAnsi="宋体" w:eastAsia="宋体" w:cs="宋体"/>
          <w:b/>
          <w:bCs/>
          <w:color w:val="000000"/>
          <w:sz w:val="21"/>
          <w:szCs w:val="21"/>
          <w:highlight w:val="none"/>
        </w:rPr>
        <w:t>比选文件的内容</w:t>
      </w:r>
      <w:bookmarkEnd w:id="23"/>
    </w:p>
    <w:p w14:paraId="07015AFD">
      <w:p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6.1比选文件除本款下述内容外，还包括所有按照本须知第</w:t>
      </w:r>
      <w:r>
        <w:rPr>
          <w:rFonts w:hint="eastAsia" w:ascii="宋体" w:hAnsi="宋体" w:eastAsia="宋体" w:cs="宋体"/>
          <w:color w:val="000000"/>
          <w:sz w:val="21"/>
          <w:szCs w:val="21"/>
          <w:highlight w:val="none"/>
          <w:u w:val="single"/>
        </w:rPr>
        <w:t>7.1</w:t>
      </w:r>
      <w:r>
        <w:rPr>
          <w:rFonts w:hint="eastAsia" w:ascii="宋体" w:hAnsi="宋体" w:eastAsia="宋体" w:cs="宋体"/>
          <w:color w:val="000000"/>
          <w:sz w:val="21"/>
          <w:szCs w:val="21"/>
          <w:highlight w:val="none"/>
        </w:rPr>
        <w:t>款和第</w:t>
      </w:r>
      <w:r>
        <w:rPr>
          <w:rFonts w:hint="eastAsia" w:ascii="宋体" w:hAnsi="宋体" w:eastAsia="宋体" w:cs="宋体"/>
          <w:color w:val="000000"/>
          <w:sz w:val="21"/>
          <w:szCs w:val="21"/>
          <w:highlight w:val="none"/>
          <w:u w:val="single"/>
        </w:rPr>
        <w:t>8</w:t>
      </w:r>
      <w:r>
        <w:rPr>
          <w:rFonts w:hint="eastAsia" w:ascii="宋体" w:hAnsi="宋体" w:eastAsia="宋体" w:cs="宋体"/>
          <w:color w:val="000000"/>
          <w:sz w:val="21"/>
          <w:szCs w:val="21"/>
          <w:highlight w:val="none"/>
        </w:rPr>
        <w:t>条发出的澄清/修改补充文件。</w:t>
      </w:r>
    </w:p>
    <w:p w14:paraId="757101B6">
      <w:pPr>
        <w:numPr>
          <w:ilvl w:val="0"/>
          <w:numId w:val="4"/>
        </w:num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比选邀请书</w:t>
      </w:r>
    </w:p>
    <w:p w14:paraId="7EB20FCF">
      <w:pPr>
        <w:numPr>
          <w:ilvl w:val="0"/>
          <w:numId w:val="4"/>
        </w:num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比选供应商须知</w:t>
      </w:r>
    </w:p>
    <w:p w14:paraId="1FAB4BB0">
      <w:pPr>
        <w:numPr>
          <w:ilvl w:val="0"/>
          <w:numId w:val="4"/>
        </w:num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合同条件、格式</w:t>
      </w:r>
    </w:p>
    <w:p w14:paraId="6775280D">
      <w:pPr>
        <w:numPr>
          <w:ilvl w:val="0"/>
          <w:numId w:val="4"/>
        </w:num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技术服务需求及说明</w:t>
      </w:r>
    </w:p>
    <w:p w14:paraId="185EF811">
      <w:pPr>
        <w:numPr>
          <w:ilvl w:val="0"/>
          <w:numId w:val="4"/>
        </w:num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比选响应文件格式</w:t>
      </w:r>
    </w:p>
    <w:p w14:paraId="5175081F">
      <w:pPr>
        <w:numPr>
          <w:ilvl w:val="0"/>
          <w:numId w:val="4"/>
        </w:num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评审办法</w:t>
      </w:r>
    </w:p>
    <w:p w14:paraId="48AB8051">
      <w:pPr>
        <w:adjustRightInd w:val="0"/>
        <w:snapToGrid w:val="0"/>
        <w:spacing w:line="360" w:lineRule="auto"/>
        <w:ind w:left="425" w:hanging="371" w:hangingChars="177"/>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6.2比选供应商应仔细阅读比选文件，并按照比选文件的规定格式编制比选响应文件，凡与比选文件的规定有重大不符的比选响应文件，将被视为无效比选，不予进入详细评审。</w:t>
      </w:r>
    </w:p>
    <w:p w14:paraId="2B4BA059">
      <w:pPr>
        <w:numPr>
          <w:ilvl w:val="0"/>
          <w:numId w:val="2"/>
        </w:numPr>
        <w:adjustRightInd w:val="0"/>
        <w:snapToGrid w:val="0"/>
        <w:spacing w:line="360" w:lineRule="auto"/>
        <w:rPr>
          <w:rFonts w:hint="eastAsia" w:ascii="宋体" w:hAnsi="宋体" w:eastAsia="宋体" w:cs="宋体"/>
          <w:b/>
          <w:bCs/>
          <w:color w:val="000000"/>
          <w:sz w:val="21"/>
          <w:szCs w:val="21"/>
          <w:highlight w:val="none"/>
        </w:rPr>
      </w:pPr>
      <w:bookmarkStart w:id="24" w:name="_Toc23613350"/>
      <w:r>
        <w:rPr>
          <w:rFonts w:hint="eastAsia" w:ascii="宋体" w:hAnsi="宋体" w:eastAsia="宋体" w:cs="宋体"/>
          <w:b/>
          <w:bCs/>
          <w:color w:val="000000"/>
          <w:sz w:val="21"/>
          <w:szCs w:val="21"/>
          <w:highlight w:val="none"/>
        </w:rPr>
        <w:t>比选文件的澄清和解答</w:t>
      </w:r>
      <w:bookmarkEnd w:id="24"/>
    </w:p>
    <w:p w14:paraId="2429788C">
      <w:pPr>
        <w:adjustRightInd w:val="0"/>
        <w:snapToGrid w:val="0"/>
        <w:spacing w:line="360" w:lineRule="auto"/>
        <w:ind w:left="425" w:hanging="371" w:hangingChars="177"/>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7.1比选供应商可以在本须知前附表中第6项规定的时间之前，对比选文件的有关事宜以书面形式（加盖公章）提请采购人予以澄清，采购人将通过书面形式向所有获得比选文件的比选供应商进行澄清（答复中不注明问题的来源）。</w:t>
      </w:r>
    </w:p>
    <w:p w14:paraId="5F6181A6">
      <w:pPr>
        <w:numPr>
          <w:ilvl w:val="0"/>
          <w:numId w:val="2"/>
        </w:numPr>
        <w:adjustRightInd w:val="0"/>
        <w:snapToGrid w:val="0"/>
        <w:spacing w:line="360" w:lineRule="auto"/>
        <w:rPr>
          <w:rFonts w:hint="eastAsia" w:ascii="宋体" w:hAnsi="宋体" w:eastAsia="宋体" w:cs="宋体"/>
          <w:b/>
          <w:bCs/>
          <w:color w:val="000000"/>
          <w:sz w:val="21"/>
          <w:szCs w:val="21"/>
          <w:highlight w:val="none"/>
        </w:rPr>
      </w:pPr>
      <w:bookmarkStart w:id="25" w:name="_Toc23613351"/>
      <w:r>
        <w:rPr>
          <w:rFonts w:hint="eastAsia" w:ascii="宋体" w:hAnsi="宋体" w:eastAsia="宋体" w:cs="宋体"/>
          <w:b/>
          <w:bCs/>
          <w:color w:val="000000"/>
          <w:sz w:val="21"/>
          <w:szCs w:val="21"/>
          <w:highlight w:val="none"/>
        </w:rPr>
        <w:t>比选文件的修改</w:t>
      </w:r>
      <w:bookmarkEnd w:id="25"/>
    </w:p>
    <w:p w14:paraId="3FC8FE4D">
      <w:pPr>
        <w:adjustRightInd w:val="0"/>
        <w:snapToGrid w:val="0"/>
        <w:spacing w:line="360" w:lineRule="auto"/>
        <w:ind w:left="425" w:hanging="371" w:hangingChars="177"/>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8.1采购人在比选截止日期3个工作日之前，可因任何原因，以补充通知的方式对比选文件进行修改。这种修改可能是采购人主动做出的，也可能是为了解答比选供应商疑问而做出的，采购人发出的所有的澄清/修改补充通知应视为比选文件的组成部分。</w:t>
      </w:r>
    </w:p>
    <w:p w14:paraId="4A19A5F2">
      <w:p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8.2采购人发出的补充通知若前后存在不一致，以后发者为准。</w:t>
      </w:r>
    </w:p>
    <w:p w14:paraId="792C271C">
      <w:pPr>
        <w:adjustRightInd w:val="0"/>
        <w:snapToGrid w:val="0"/>
        <w:spacing w:line="360" w:lineRule="auto"/>
        <w:ind w:left="425" w:hanging="371" w:hangingChars="177"/>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8.3为便于比选供应商在合理的时间内，按照澄清/补充通知提出的要求编制比选响应文件，采购人可以在适当的时候延长比选截止期，采购人和比选供应商相应的权利与义务亦应随之延长。</w:t>
      </w:r>
    </w:p>
    <w:p w14:paraId="246BFBA9">
      <w:pPr>
        <w:adjustRightInd w:val="0"/>
        <w:snapToGrid w:val="0"/>
        <w:spacing w:line="360" w:lineRule="auto"/>
        <w:ind w:left="425" w:hanging="371" w:hangingChars="177"/>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8.4比选供应商应在收到澄清/修改补充通知后24小时内以书面形式（加盖公章）向采购人确认收悉。</w:t>
      </w:r>
    </w:p>
    <w:p w14:paraId="2D1F036A">
      <w:pPr>
        <w:pStyle w:val="3"/>
        <w:spacing w:line="360" w:lineRule="auto"/>
        <w:rPr>
          <w:rFonts w:hint="eastAsia" w:ascii="宋体" w:hAnsi="宋体" w:eastAsia="宋体" w:cs="宋体"/>
          <w:color w:val="000000"/>
          <w:sz w:val="21"/>
          <w:szCs w:val="21"/>
          <w:highlight w:val="none"/>
        </w:rPr>
      </w:pPr>
      <w:bookmarkStart w:id="26" w:name="_Toc24455232"/>
      <w:bookmarkStart w:id="27" w:name="_Toc27460"/>
      <w:bookmarkStart w:id="28" w:name="_Toc24083812"/>
      <w:bookmarkStart w:id="29" w:name="_Toc1094"/>
      <w:bookmarkStart w:id="30" w:name="_Toc19240"/>
      <w:bookmarkStart w:id="31" w:name="_Toc23613352"/>
      <w:bookmarkStart w:id="32" w:name="_Toc7720"/>
      <w:bookmarkStart w:id="33" w:name="_Toc33340837"/>
      <w:bookmarkStart w:id="34" w:name="_Toc68963463"/>
      <w:r>
        <w:rPr>
          <w:rFonts w:hint="eastAsia" w:ascii="宋体" w:hAnsi="宋体" w:eastAsia="宋体" w:cs="宋体"/>
          <w:color w:val="000000"/>
          <w:sz w:val="21"/>
          <w:szCs w:val="21"/>
          <w:highlight w:val="none"/>
        </w:rPr>
        <w:t>三、比选响应文件的编制</w:t>
      </w:r>
      <w:bookmarkEnd w:id="26"/>
      <w:bookmarkEnd w:id="27"/>
      <w:bookmarkEnd w:id="28"/>
      <w:bookmarkEnd w:id="29"/>
      <w:bookmarkEnd w:id="30"/>
      <w:bookmarkEnd w:id="31"/>
      <w:bookmarkEnd w:id="32"/>
      <w:bookmarkEnd w:id="33"/>
      <w:bookmarkEnd w:id="34"/>
    </w:p>
    <w:p w14:paraId="3119CC5D">
      <w:pPr>
        <w:numPr>
          <w:ilvl w:val="0"/>
          <w:numId w:val="2"/>
        </w:numPr>
        <w:adjustRightInd w:val="0"/>
        <w:snapToGrid w:val="0"/>
        <w:spacing w:line="360" w:lineRule="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比选响应文件的内容</w:t>
      </w:r>
    </w:p>
    <w:p w14:paraId="458BB155">
      <w:p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9.1比选供应商编写的比选响应文件，应至少包括但不限于下列各项内容：</w:t>
      </w:r>
    </w:p>
    <w:p w14:paraId="49B37C21">
      <w:p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9.1.1比选函</w:t>
      </w:r>
    </w:p>
    <w:p w14:paraId="126EE2D8">
      <w:pPr>
        <w:tabs>
          <w:tab w:val="left" w:pos="644"/>
          <w:tab w:val="left" w:pos="1080"/>
          <w:tab w:val="left" w:pos="1260"/>
        </w:tabs>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9.1.2法定代表人授权委托书；</w:t>
      </w:r>
    </w:p>
    <w:p w14:paraId="0F4E809E">
      <w:p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9.1.3比选供应商基本情况表</w:t>
      </w:r>
    </w:p>
    <w:p w14:paraId="41F34473">
      <w:pPr>
        <w:tabs>
          <w:tab w:val="left" w:pos="644"/>
          <w:tab w:val="left" w:pos="1080"/>
          <w:tab w:val="left" w:pos="1260"/>
        </w:tabs>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9.1.4服务项目人员构成</w:t>
      </w:r>
    </w:p>
    <w:p w14:paraId="62D352B6">
      <w:pPr>
        <w:tabs>
          <w:tab w:val="left" w:pos="644"/>
          <w:tab w:val="left" w:pos="1080"/>
          <w:tab w:val="left" w:pos="1260"/>
        </w:tabs>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9.1.5拟派负责人简历表</w:t>
      </w:r>
    </w:p>
    <w:p w14:paraId="430CE906">
      <w:pPr>
        <w:tabs>
          <w:tab w:val="left" w:pos="644"/>
          <w:tab w:val="left" w:pos="1080"/>
          <w:tab w:val="left" w:pos="1260"/>
        </w:tabs>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9.1.6针对该项目派遣的人员情况汇总表</w:t>
      </w:r>
    </w:p>
    <w:p w14:paraId="3F67C224">
      <w:pPr>
        <w:pStyle w:val="15"/>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9.1.7资格要求文件</w:t>
      </w:r>
    </w:p>
    <w:p w14:paraId="0342AE6B">
      <w:pPr>
        <w:tabs>
          <w:tab w:val="left" w:pos="5580"/>
        </w:tabs>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(1)法人营业执照（副本）或三证合一</w:t>
      </w:r>
      <w:r>
        <w:rPr>
          <w:rFonts w:hint="eastAsia" w:ascii="宋体" w:hAnsi="宋体" w:eastAsia="宋体" w:cs="宋体"/>
          <w:sz w:val="21"/>
          <w:szCs w:val="21"/>
          <w:highlight w:val="none"/>
        </w:rPr>
        <w:t>营业执照经营范围须覆盖本项目服务范围</w:t>
      </w:r>
    </w:p>
    <w:p w14:paraId="1FE7D83D">
      <w:pPr>
        <w:tabs>
          <w:tab w:val="left" w:pos="5580"/>
        </w:tabs>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(2)税务登记证书或三证合一</w:t>
      </w:r>
    </w:p>
    <w:p w14:paraId="06825EE8">
      <w:pPr>
        <w:tabs>
          <w:tab w:val="left" w:pos="5580"/>
        </w:tabs>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(3)组织机构代码证（副本、具有有效期）或三证合一</w:t>
      </w:r>
    </w:p>
    <w:p w14:paraId="29ED6FD7">
      <w:pPr>
        <w:tabs>
          <w:tab w:val="left" w:pos="5580"/>
        </w:tabs>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(4)法定代表人授权书（格式）</w:t>
      </w:r>
    </w:p>
    <w:p w14:paraId="494C799B">
      <w:pPr>
        <w:tabs>
          <w:tab w:val="left" w:pos="5580"/>
        </w:tabs>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(5)授权代表身份证</w:t>
      </w:r>
    </w:p>
    <w:p w14:paraId="189B474F">
      <w:pPr>
        <w:tabs>
          <w:tab w:val="left" w:pos="5580"/>
        </w:tabs>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遵守国家法律、法规，企业财务状况良好、企业信誉良好，最近3年在经营活动中没有违法、违规记录，不得存在下列情形之一：被责令停业或破产状态的，财产被接管或冻结的，被暂停或取消投标资格的承诺函</w:t>
      </w:r>
    </w:p>
    <w:p w14:paraId="070E148A">
      <w:pPr>
        <w:pStyle w:val="15"/>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（7）单位负责人为同一人或者</w:t>
      </w:r>
      <w:r>
        <w:rPr>
          <w:rFonts w:hint="eastAsia" w:ascii="宋体" w:hAnsi="宋体" w:eastAsia="宋体" w:cs="宋体"/>
          <w:sz w:val="21"/>
          <w:szCs w:val="21"/>
          <w:highlight w:val="none"/>
          <w:lang w:eastAsia="zh-CN"/>
        </w:rPr>
        <w:t>存在直接控股</w:t>
      </w:r>
      <w:r>
        <w:rPr>
          <w:rFonts w:hint="eastAsia" w:ascii="宋体" w:hAnsi="宋体" w:eastAsia="宋体" w:cs="宋体"/>
          <w:sz w:val="21"/>
          <w:szCs w:val="21"/>
          <w:highlight w:val="none"/>
        </w:rPr>
        <w:t>、管理关系的不同单位，不得同时参加同本项目比选承诺函</w:t>
      </w:r>
    </w:p>
    <w:p w14:paraId="1E06A0BD">
      <w:pPr>
        <w:pStyle w:val="18"/>
        <w:tabs>
          <w:tab w:val="left" w:pos="5580"/>
        </w:tabs>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（8）</w:t>
      </w:r>
      <w:r>
        <w:rPr>
          <w:rFonts w:hint="eastAsia" w:ascii="宋体" w:hAnsi="宋体" w:eastAsia="宋体" w:cs="宋体"/>
          <w:sz w:val="21"/>
          <w:szCs w:val="21"/>
          <w:highlight w:val="none"/>
          <w:lang w:eastAsia="zh-CN"/>
        </w:rPr>
        <w:t>有效期内的《食品经营许可证》。</w:t>
      </w:r>
      <w:r>
        <w:rPr>
          <w:rFonts w:hint="eastAsia" w:ascii="宋体" w:hAnsi="宋体" w:eastAsia="宋体" w:cs="宋体"/>
          <w:sz w:val="21"/>
          <w:szCs w:val="21"/>
          <w:highlight w:val="none"/>
        </w:rPr>
        <w:t>复印件加盖公章</w:t>
      </w:r>
    </w:p>
    <w:p w14:paraId="1E7DC537">
      <w:pPr>
        <w:pStyle w:val="18"/>
        <w:tabs>
          <w:tab w:val="left" w:pos="5580"/>
        </w:tabs>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9.18服务方案</w:t>
      </w:r>
    </w:p>
    <w:p w14:paraId="73730D86">
      <w:p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服务方案参照比选文件“第四章技术服务需求及说明”。</w:t>
      </w:r>
    </w:p>
    <w:p w14:paraId="552E911A">
      <w:pPr>
        <w:adjustRightInd w:val="0"/>
        <w:snapToGrid w:val="0"/>
        <w:spacing w:line="360" w:lineRule="auto"/>
        <w:ind w:left="480" w:hanging="420" w:hanging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9.2本比选文件应符合以下要求：</w:t>
      </w:r>
    </w:p>
    <w:p w14:paraId="5AB54A6B">
      <w:pPr>
        <w:adjustRightInd w:val="0"/>
        <w:snapToGrid w:val="0"/>
        <w:spacing w:line="360" w:lineRule="auto"/>
        <w:ind w:left="480" w:hanging="420" w:hanging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9.2.1本比选文件要求的或比选供应商认为有必要提供的其他资料，可根据所提供资料的内容和性质列入上述各部分的文件中。</w:t>
      </w:r>
    </w:p>
    <w:p w14:paraId="4021145D">
      <w:p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9.2.2比选供应商应使用比选文件提供的比选响应文件格式，表格可以按同样格式扩展。</w:t>
      </w:r>
    </w:p>
    <w:p w14:paraId="3A696AF1">
      <w:p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9.2.3比选响应文件应印刷清晰整洁，编制目录，注明页码，以便查阅。</w:t>
      </w:r>
    </w:p>
    <w:p w14:paraId="69AD1179">
      <w:pPr>
        <w:adjustRightInd w:val="0"/>
        <w:snapToGrid w:val="0"/>
        <w:spacing w:line="360" w:lineRule="auto"/>
        <w:ind w:left="480" w:hanging="420" w:hanging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9.2.4比选响应文件、比选交换的文件和往来信函应采用简体中文。除非比选文件另有规定，计量单位应使用中华人民共和国法定计量单位。</w:t>
      </w:r>
    </w:p>
    <w:p w14:paraId="16F10500">
      <w:pPr>
        <w:adjustRightInd w:val="0"/>
        <w:snapToGrid w:val="0"/>
        <w:spacing w:line="360" w:lineRule="auto"/>
        <w:ind w:left="480" w:hanging="420" w:hanging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9.2.5比选供应商应详细阅读比选文件的全部内容。比选响应文件必须对比选文件中的内容作出实质性和完整的响应，如果比选响应文件填报的内容资料不详，或没有对比选文件中的内容作出实质性和完整的响应其后果将由比选供应商自己负责。</w:t>
      </w:r>
    </w:p>
    <w:p w14:paraId="3F12BC3F">
      <w:pPr>
        <w:numPr>
          <w:ilvl w:val="0"/>
          <w:numId w:val="5"/>
        </w:numPr>
        <w:adjustRightInd w:val="0"/>
        <w:snapToGrid w:val="0"/>
        <w:spacing w:line="360" w:lineRule="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费用</w:t>
      </w:r>
      <w:r>
        <w:rPr>
          <w:rFonts w:hint="eastAsia" w:ascii="宋体" w:hAnsi="宋体" w:eastAsia="宋体" w:cs="宋体"/>
          <w:b/>
          <w:bCs/>
          <w:color w:val="000000"/>
          <w:sz w:val="21"/>
          <w:szCs w:val="21"/>
          <w:highlight w:val="none"/>
        </w:rPr>
        <w:t>说明</w:t>
      </w:r>
    </w:p>
    <w:p w14:paraId="020075DF">
      <w:p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服务计费方式在委托范围内采用</w:t>
      </w:r>
      <w:r>
        <w:rPr>
          <w:rFonts w:hint="eastAsia" w:ascii="宋体" w:hAnsi="宋体" w:eastAsia="宋体" w:cs="宋体"/>
          <w:b/>
          <w:bCs/>
          <w:color w:val="000000"/>
          <w:sz w:val="21"/>
          <w:szCs w:val="21"/>
          <w:highlight w:val="none"/>
          <w:u w:val="single"/>
        </w:rPr>
        <w:t>包干制</w:t>
      </w:r>
      <w:r>
        <w:rPr>
          <w:rFonts w:hint="eastAsia" w:ascii="宋体" w:hAnsi="宋体" w:eastAsia="宋体" w:cs="宋体"/>
          <w:color w:val="000000"/>
          <w:sz w:val="21"/>
          <w:szCs w:val="21"/>
          <w:highlight w:val="none"/>
        </w:rPr>
        <w:t>。比选供应商必须综合考虑本项目的具体情况、比选供应商自身实力、市场竞争因素规定发生调整的情况，按照比选文件规定的格式和内容进行报价。</w:t>
      </w:r>
    </w:p>
    <w:p w14:paraId="0F5B1205">
      <w:pPr>
        <w:adjustRightInd w:val="0"/>
        <w:snapToGrid w:val="0"/>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11</w:t>
      </w:r>
      <w:r>
        <w:rPr>
          <w:rFonts w:hint="eastAsia" w:ascii="宋体" w:hAnsi="宋体" w:eastAsia="宋体" w:cs="宋体"/>
          <w:b/>
          <w:bCs/>
          <w:color w:val="000000"/>
          <w:sz w:val="21"/>
          <w:szCs w:val="21"/>
          <w:highlight w:val="none"/>
        </w:rPr>
        <w:t>．</w:t>
      </w:r>
      <w:r>
        <w:rPr>
          <w:rFonts w:hint="eastAsia" w:ascii="宋体" w:hAnsi="宋体" w:eastAsia="宋体" w:cs="宋体"/>
          <w:b/>
          <w:bCs/>
          <w:sz w:val="21"/>
          <w:szCs w:val="21"/>
          <w:highlight w:val="none"/>
        </w:rPr>
        <w:t>比选有效期</w:t>
      </w:r>
    </w:p>
    <w:p w14:paraId="022465DB">
      <w:pPr>
        <w:adjustRightInd w:val="0"/>
        <w:snapToGrid w:val="0"/>
        <w:spacing w:line="360" w:lineRule="auto"/>
        <w:ind w:left="480" w:hanging="420" w:hangingChars="200"/>
        <w:rPr>
          <w:rFonts w:hint="eastAsia" w:ascii="宋体" w:hAnsi="宋体" w:eastAsia="宋体" w:cs="宋体"/>
          <w:sz w:val="21"/>
          <w:szCs w:val="21"/>
          <w:highlight w:val="none"/>
        </w:rPr>
      </w:pPr>
      <w:r>
        <w:rPr>
          <w:rFonts w:hint="eastAsia" w:ascii="宋体" w:hAnsi="宋体" w:eastAsia="宋体" w:cs="宋体"/>
          <w:sz w:val="21"/>
          <w:szCs w:val="21"/>
          <w:highlight w:val="none"/>
        </w:rPr>
        <w:t>11.1比选有效期为比选之日后本须知前附表中第</w:t>
      </w:r>
      <w:r>
        <w:rPr>
          <w:rFonts w:hint="eastAsia" w:ascii="宋体" w:hAnsi="宋体" w:eastAsia="宋体" w:cs="宋体"/>
          <w:sz w:val="21"/>
          <w:szCs w:val="21"/>
          <w:highlight w:val="none"/>
          <w:u w:val="single"/>
        </w:rPr>
        <w:t>7</w:t>
      </w:r>
      <w:r>
        <w:rPr>
          <w:rFonts w:hint="eastAsia" w:ascii="宋体" w:hAnsi="宋体" w:eastAsia="宋体" w:cs="宋体"/>
          <w:sz w:val="21"/>
          <w:szCs w:val="21"/>
          <w:highlight w:val="none"/>
        </w:rPr>
        <w:t>项所述的日历日。在此期间内，所有比选响应文件均保持有效。</w:t>
      </w:r>
    </w:p>
    <w:p w14:paraId="43E90E77">
      <w:p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11.2在原定比选有效期满之前，如果出现特殊情况，采购人可适当延长比选有效期，并及时通知比选供应商。</w:t>
      </w:r>
    </w:p>
    <w:p w14:paraId="443914D1">
      <w:pPr>
        <w:adjustRightInd w:val="0"/>
        <w:snapToGrid w:val="0"/>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12．比选保证金（本项目不适用）</w:t>
      </w:r>
    </w:p>
    <w:p w14:paraId="7555B5E2">
      <w:p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12.1比选供应商在递交比选响应文件之前必须向采购人交纳本须知前附表第</w:t>
      </w:r>
      <w:r>
        <w:rPr>
          <w:rFonts w:hint="eastAsia" w:ascii="宋体" w:hAnsi="宋体" w:eastAsia="宋体" w:cs="宋体"/>
          <w:color w:val="000000"/>
          <w:sz w:val="21"/>
          <w:szCs w:val="21"/>
          <w:highlight w:val="none"/>
          <w:u w:val="single"/>
        </w:rPr>
        <w:t>8</w:t>
      </w:r>
      <w:r>
        <w:rPr>
          <w:rFonts w:hint="eastAsia" w:ascii="宋体" w:hAnsi="宋体" w:eastAsia="宋体" w:cs="宋体"/>
          <w:color w:val="000000"/>
          <w:sz w:val="21"/>
          <w:szCs w:val="21"/>
          <w:highlight w:val="none"/>
        </w:rPr>
        <w:t>项所述金额的比选保证金。</w:t>
      </w:r>
    </w:p>
    <w:p w14:paraId="22655AE0">
      <w:p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12.2比选保证金有效期应与比选有效期保持一致。</w:t>
      </w:r>
    </w:p>
    <w:p w14:paraId="5D1EBE6E">
      <w:p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12.3比选供应商若依据本须知第</w:t>
      </w:r>
      <w:r>
        <w:rPr>
          <w:rFonts w:hint="eastAsia" w:ascii="宋体" w:hAnsi="宋体" w:eastAsia="宋体" w:cs="宋体"/>
          <w:color w:val="000000"/>
          <w:sz w:val="21"/>
          <w:szCs w:val="21"/>
          <w:highlight w:val="none"/>
          <w:u w:val="single"/>
        </w:rPr>
        <w:t>11</w:t>
      </w:r>
      <w:r>
        <w:rPr>
          <w:rFonts w:hint="eastAsia" w:ascii="宋体" w:hAnsi="宋体" w:eastAsia="宋体" w:cs="宋体"/>
          <w:color w:val="000000"/>
          <w:sz w:val="21"/>
          <w:szCs w:val="21"/>
          <w:highlight w:val="none"/>
        </w:rPr>
        <w:t>条的规定延长了比选响应文件有效期，比选保证金的有效期也相应延长；若比选供应商不同意延长比选有效期而放弃比选，采购人将在原比选保证金有效期内退还其比选保证金。对于未能按要求提交足额比选保证金的比选响应文件，可视为不响应比选文件而予以拒绝。</w:t>
      </w:r>
    </w:p>
    <w:p w14:paraId="0C6A70D8">
      <w:p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12.4成交人的比选保证金将在成交人按规定与比选供应商签订合同之后5个工作日内无息返还；未成交比选供应商的比选保证金，将在签约通知书发出后5个工作日内无息返还。</w:t>
      </w:r>
    </w:p>
    <w:p w14:paraId="53BF607D">
      <w:p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12.5比选供应商如有下列情况，其比选保证金将不予退还：</w:t>
      </w:r>
    </w:p>
    <w:p w14:paraId="4BCFF56E">
      <w:pPr>
        <w:tabs>
          <w:tab w:val="left" w:pos="882"/>
        </w:tabs>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12.5.1比选供应商在比选有效期内修改或撤回其比选响应文件；</w:t>
      </w:r>
    </w:p>
    <w:p w14:paraId="5EA502D7">
      <w:pPr>
        <w:tabs>
          <w:tab w:val="left" w:pos="882"/>
        </w:tabs>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12.5.2串通作弊、哄抬标价；</w:t>
      </w:r>
    </w:p>
    <w:p w14:paraId="4F2498B2">
      <w:pPr>
        <w:tabs>
          <w:tab w:val="left" w:pos="882"/>
        </w:tabs>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12.5.3成交的比选供应商未能在规定的期限内与比选供应商签订合同；</w:t>
      </w:r>
    </w:p>
    <w:p w14:paraId="5C78E0DE">
      <w:pPr>
        <w:adjustRightInd w:val="0"/>
        <w:snapToGrid w:val="0"/>
        <w:spacing w:line="360" w:lineRule="auto"/>
        <w:rPr>
          <w:rFonts w:hint="eastAsia" w:ascii="宋体" w:hAnsi="宋体" w:eastAsia="宋体" w:cs="宋体"/>
          <w:b/>
          <w:bCs/>
          <w:color w:val="000000"/>
          <w:sz w:val="21"/>
          <w:szCs w:val="21"/>
          <w:highlight w:val="none"/>
        </w:rPr>
      </w:pPr>
      <w:bookmarkStart w:id="35" w:name="_Toc23613356"/>
      <w:r>
        <w:rPr>
          <w:rFonts w:hint="eastAsia" w:ascii="宋体" w:hAnsi="宋体" w:eastAsia="宋体" w:cs="宋体"/>
          <w:b/>
          <w:bCs/>
          <w:color w:val="000000"/>
          <w:sz w:val="21"/>
          <w:szCs w:val="21"/>
          <w:highlight w:val="none"/>
        </w:rPr>
        <w:t>13．比选响应文件的签署</w:t>
      </w:r>
      <w:bookmarkEnd w:id="35"/>
    </w:p>
    <w:p w14:paraId="7906BC87">
      <w:pPr>
        <w:numPr>
          <w:ilvl w:val="1"/>
          <w:numId w:val="6"/>
        </w:num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比选供应商应按本须知第9条规定内容与格式向采购人送交比选响应文件，比选供应商应针对所投项目</w:t>
      </w:r>
      <w:r>
        <w:rPr>
          <w:rFonts w:hint="eastAsia" w:ascii="宋体" w:hAnsi="宋体" w:eastAsia="宋体" w:cs="宋体"/>
          <w:b/>
          <w:bCs/>
          <w:color w:val="000000"/>
          <w:sz w:val="21"/>
          <w:szCs w:val="21"/>
          <w:highlight w:val="none"/>
          <w:u w:val="single"/>
        </w:rPr>
        <w:t>独立准备</w:t>
      </w:r>
      <w:r>
        <w:rPr>
          <w:rFonts w:hint="eastAsia" w:ascii="宋体" w:hAnsi="宋体" w:eastAsia="宋体" w:cs="宋体"/>
          <w:color w:val="000000"/>
          <w:sz w:val="21"/>
          <w:szCs w:val="21"/>
          <w:highlight w:val="none"/>
        </w:rPr>
        <w:t>比选响应文件</w:t>
      </w:r>
      <w:r>
        <w:rPr>
          <w:rFonts w:hint="eastAsia" w:ascii="宋体" w:hAnsi="宋体" w:eastAsia="宋体" w:cs="宋体"/>
          <w:b/>
          <w:bCs/>
          <w:color w:val="000000"/>
          <w:sz w:val="21"/>
          <w:szCs w:val="21"/>
          <w:highlight w:val="none"/>
        </w:rPr>
        <w:t>正</w:t>
      </w:r>
      <w:r>
        <w:rPr>
          <w:rFonts w:hint="eastAsia" w:ascii="宋体" w:hAnsi="宋体" w:eastAsia="宋体" w:cs="宋体"/>
          <w:b/>
          <w:color w:val="000000"/>
          <w:sz w:val="21"/>
          <w:szCs w:val="21"/>
          <w:highlight w:val="none"/>
        </w:rPr>
        <w:t>本一份，副本</w:t>
      </w:r>
      <w:r>
        <w:rPr>
          <w:rFonts w:hint="eastAsia" w:ascii="宋体" w:hAnsi="宋体" w:eastAsia="宋体" w:cs="宋体"/>
          <w:b/>
          <w:color w:val="000000"/>
          <w:sz w:val="21"/>
          <w:szCs w:val="21"/>
          <w:highlight w:val="none"/>
          <w:lang w:val="en-US" w:eastAsia="zh-CN"/>
        </w:rPr>
        <w:t>三</w:t>
      </w:r>
      <w:r>
        <w:rPr>
          <w:rFonts w:hint="eastAsia" w:ascii="宋体" w:hAnsi="宋体" w:eastAsia="宋体" w:cs="宋体"/>
          <w:b/>
          <w:color w:val="000000"/>
          <w:sz w:val="21"/>
          <w:szCs w:val="21"/>
          <w:highlight w:val="none"/>
        </w:rPr>
        <w:t>份，</w:t>
      </w:r>
      <w:r>
        <w:rPr>
          <w:rFonts w:hint="eastAsia" w:ascii="宋体" w:hAnsi="宋体" w:eastAsia="宋体" w:cs="宋体"/>
          <w:color w:val="000000"/>
          <w:sz w:val="21"/>
          <w:szCs w:val="21"/>
          <w:highlight w:val="none"/>
        </w:rPr>
        <w:t>并在封面上明确标明“正本”和“副本”的字样，</w:t>
      </w:r>
      <w:r>
        <w:rPr>
          <w:rFonts w:hint="eastAsia" w:ascii="宋体" w:hAnsi="宋体" w:eastAsia="宋体" w:cs="宋体"/>
          <w:b/>
          <w:color w:val="000000"/>
          <w:sz w:val="21"/>
          <w:szCs w:val="21"/>
          <w:highlight w:val="none"/>
        </w:rPr>
        <w:t>电子文档两份（U盘形式），</w:t>
      </w:r>
      <w:r>
        <w:rPr>
          <w:rFonts w:hint="eastAsia" w:ascii="宋体" w:hAnsi="宋体" w:eastAsia="宋体" w:cs="宋体"/>
          <w:color w:val="000000"/>
          <w:sz w:val="21"/>
          <w:szCs w:val="21"/>
          <w:highlight w:val="none"/>
        </w:rPr>
        <w:t>当正本与副本有不一致之处时，以正本为准。比选响应文件的副本可为正本的复印件。</w:t>
      </w:r>
    </w:p>
    <w:p w14:paraId="011ABEE1">
      <w:pPr>
        <w:numPr>
          <w:ilvl w:val="1"/>
          <w:numId w:val="6"/>
        </w:num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比选响应文件的正本，一律用不褪色的墨水书写或打印并逐页编码，加盖比选供应商单位公章、法定代表人专用章（含骑缝章），并由比选供应商的法定代表人或其授权的代理人签字。</w:t>
      </w:r>
    </w:p>
    <w:p w14:paraId="79E4BA87">
      <w:pPr>
        <w:numPr>
          <w:ilvl w:val="1"/>
          <w:numId w:val="6"/>
        </w:num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全套比选响应文件应无涂改和行间插字，若有改动，无论何种原因所造成，都应由比选供应商的法定代表人或其授权的代理人在改动处签字。</w:t>
      </w:r>
    </w:p>
    <w:p w14:paraId="466CD46C">
      <w:pPr>
        <w:numPr>
          <w:ilvl w:val="1"/>
          <w:numId w:val="6"/>
        </w:num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比选响应文件应严格按照比选文件规定的顺序装订成册并编制目录，由于编排混乱导致比选响应文</w:t>
      </w:r>
      <w:r>
        <w:rPr>
          <w:rFonts w:hint="eastAsia" w:ascii="宋体" w:hAnsi="宋体" w:eastAsia="宋体" w:cs="宋体"/>
          <w:sz w:val="21"/>
          <w:szCs w:val="21"/>
          <w:highlight w:val="none"/>
        </w:rPr>
        <w:t>件被误读或查找不到，视为比选供应商的责任。</w:t>
      </w:r>
    </w:p>
    <w:p w14:paraId="27B1A2A5">
      <w:pPr>
        <w:numPr>
          <w:ilvl w:val="1"/>
          <w:numId w:val="6"/>
        </w:num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比选响应文件应严格按照比选文件的要求提交，并按规定的统一格式逐项填写，不准有空项；无相应内容可填写“无”、“无相应指标”等明确的回答文字。</w:t>
      </w:r>
    </w:p>
    <w:p w14:paraId="496BB58A">
      <w:pPr>
        <w:numPr>
          <w:ilvl w:val="1"/>
          <w:numId w:val="6"/>
        </w:num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比选报价信为在比选仪式上唱标的内容，要求按格式统一填写，不得自行增减内容。比选供应商必须保证比选响应文件所提供的全部资料真实可靠，并接受评审委员会对其中任何资料进一步审查的要求。</w:t>
      </w:r>
    </w:p>
    <w:p w14:paraId="219DEBB8">
      <w:pPr>
        <w:pStyle w:val="3"/>
        <w:spacing w:line="360" w:lineRule="auto"/>
        <w:rPr>
          <w:rFonts w:hint="eastAsia" w:ascii="宋体" w:hAnsi="宋体" w:eastAsia="宋体" w:cs="宋体"/>
          <w:sz w:val="21"/>
          <w:szCs w:val="21"/>
          <w:highlight w:val="none"/>
        </w:rPr>
      </w:pPr>
      <w:bookmarkStart w:id="36" w:name="_Toc7207"/>
      <w:bookmarkStart w:id="37" w:name="_Toc16747"/>
      <w:bookmarkStart w:id="38" w:name="_Toc2734"/>
      <w:bookmarkStart w:id="39" w:name="_Toc19983"/>
      <w:bookmarkStart w:id="40" w:name="_Toc24083813"/>
      <w:bookmarkStart w:id="41" w:name="_Toc24455233"/>
      <w:bookmarkStart w:id="42" w:name="_Toc68963464"/>
      <w:bookmarkStart w:id="43" w:name="_Toc33340838"/>
      <w:r>
        <w:rPr>
          <w:rFonts w:hint="eastAsia" w:ascii="宋体" w:hAnsi="宋体" w:eastAsia="宋体" w:cs="宋体"/>
          <w:sz w:val="21"/>
          <w:szCs w:val="21"/>
          <w:highlight w:val="none"/>
        </w:rPr>
        <w:t>四、比选响应文件的递交</w:t>
      </w:r>
      <w:bookmarkEnd w:id="36"/>
      <w:bookmarkEnd w:id="37"/>
      <w:bookmarkEnd w:id="38"/>
      <w:bookmarkEnd w:id="39"/>
      <w:bookmarkEnd w:id="40"/>
      <w:bookmarkEnd w:id="41"/>
      <w:bookmarkEnd w:id="42"/>
      <w:bookmarkEnd w:id="43"/>
    </w:p>
    <w:p w14:paraId="227CAD81">
      <w:pPr>
        <w:adjustRightInd w:val="0"/>
        <w:snapToGrid w:val="0"/>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14．比选响应文件的装订、密封和标记</w:t>
      </w:r>
    </w:p>
    <w:p w14:paraId="503B134D">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比选供应商应将比选响应文件按照本须知第</w:t>
      </w:r>
      <w:r>
        <w:rPr>
          <w:rFonts w:hint="eastAsia" w:ascii="宋体" w:hAnsi="宋体" w:eastAsia="宋体" w:cs="宋体"/>
          <w:sz w:val="21"/>
          <w:szCs w:val="21"/>
          <w:highlight w:val="none"/>
          <w:u w:val="single"/>
        </w:rPr>
        <w:t>9</w:t>
      </w:r>
      <w:r>
        <w:rPr>
          <w:rFonts w:hint="eastAsia" w:ascii="宋体" w:hAnsi="宋体" w:eastAsia="宋体" w:cs="宋体"/>
          <w:sz w:val="21"/>
          <w:szCs w:val="21"/>
          <w:highlight w:val="none"/>
        </w:rPr>
        <w:t>条规定的内容和顺序进行编排。</w:t>
      </w:r>
    </w:p>
    <w:p w14:paraId="7A08F7FE">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14.1比选响应文件正本、副本及电子文档应分别密封在一个内层封套中，并注明“正本”、“副本”及“电子文档”字样。然后将所有比选响应文件统一封装在一个外层封套中，封口处需加盖比选供应商公章。</w:t>
      </w:r>
    </w:p>
    <w:p w14:paraId="2B13FE2D">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14.2在比选响应文件外层封套上均应注明下列识别标志：</w:t>
      </w:r>
    </w:p>
    <w:p w14:paraId="1CBAD1C4">
      <w:pPr>
        <w:numPr>
          <w:ilvl w:val="0"/>
          <w:numId w:val="7"/>
        </w:num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p w14:paraId="3B9C046C">
      <w:pPr>
        <w:numPr>
          <w:ilvl w:val="0"/>
          <w:numId w:val="7"/>
        </w:num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项目编号；</w:t>
      </w:r>
    </w:p>
    <w:p w14:paraId="2AB0ECDF">
      <w:pPr>
        <w:numPr>
          <w:ilvl w:val="0"/>
          <w:numId w:val="7"/>
        </w:num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比选响应文件递交地点；</w:t>
      </w:r>
    </w:p>
    <w:p w14:paraId="5C9AE541">
      <w:pPr>
        <w:numPr>
          <w:ilvl w:val="0"/>
          <w:numId w:val="7"/>
        </w:num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“年月日</w:t>
      </w:r>
      <w:r>
        <w:rPr>
          <w:rFonts w:hint="eastAsia" w:ascii="宋体" w:hAnsi="宋体" w:eastAsia="宋体" w:cs="宋体"/>
          <w:sz w:val="21"/>
          <w:szCs w:val="21"/>
          <w:highlight w:val="none"/>
          <w:u w:val="single"/>
        </w:rPr>
        <w:t xml:space="preserve">     时</w:t>
      </w:r>
      <w:r>
        <w:rPr>
          <w:rFonts w:hint="eastAsia" w:ascii="宋体" w:hAnsi="宋体" w:eastAsia="宋体" w:cs="宋体"/>
          <w:sz w:val="21"/>
          <w:szCs w:val="21"/>
          <w:highlight w:val="none"/>
        </w:rPr>
        <w:t>（北京时间）比选，此时间以前不得开启”的字样并加盖比选供应商公章</w:t>
      </w:r>
    </w:p>
    <w:p w14:paraId="45684628">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14.3除了按本须知第</w:t>
      </w:r>
      <w:r>
        <w:rPr>
          <w:rFonts w:hint="eastAsia" w:ascii="宋体" w:hAnsi="宋体" w:eastAsia="宋体" w:cs="宋体"/>
          <w:sz w:val="21"/>
          <w:szCs w:val="21"/>
          <w:highlight w:val="none"/>
          <w:u w:val="single"/>
        </w:rPr>
        <w:t>14.2</w:t>
      </w:r>
      <w:r>
        <w:rPr>
          <w:rFonts w:hint="eastAsia" w:ascii="宋体" w:hAnsi="宋体" w:eastAsia="宋体" w:cs="宋体"/>
          <w:sz w:val="21"/>
          <w:szCs w:val="21"/>
          <w:highlight w:val="none"/>
        </w:rPr>
        <w:t>款所要求的识别字样外，在最外层封套上还应写明供应商的名称与地址、邮政编码，以便本须知第</w:t>
      </w:r>
      <w:r>
        <w:rPr>
          <w:rFonts w:hint="eastAsia" w:ascii="宋体" w:hAnsi="宋体" w:eastAsia="宋体" w:cs="宋体"/>
          <w:sz w:val="21"/>
          <w:szCs w:val="21"/>
          <w:highlight w:val="none"/>
          <w:u w:val="single"/>
        </w:rPr>
        <w:t>16</w:t>
      </w:r>
      <w:r>
        <w:rPr>
          <w:rFonts w:hint="eastAsia" w:ascii="宋体" w:hAnsi="宋体" w:eastAsia="宋体" w:cs="宋体"/>
          <w:sz w:val="21"/>
          <w:szCs w:val="21"/>
          <w:highlight w:val="none"/>
        </w:rPr>
        <w:t>条规定情况发生时，比选机构可按上面标明的比选供应商地址将比选响应文件原封退回。</w:t>
      </w:r>
    </w:p>
    <w:p w14:paraId="0D9F0A3B">
      <w:pPr>
        <w:adjustRightInd w:val="0"/>
        <w:snapToGrid w:val="0"/>
        <w:spacing w:line="360" w:lineRule="auto"/>
        <w:ind w:left="480" w:hanging="420" w:hangingChars="200"/>
        <w:rPr>
          <w:rFonts w:hint="eastAsia" w:ascii="宋体" w:hAnsi="宋体" w:eastAsia="宋体" w:cs="宋体"/>
          <w:sz w:val="21"/>
          <w:szCs w:val="21"/>
          <w:highlight w:val="none"/>
        </w:rPr>
      </w:pPr>
      <w:r>
        <w:rPr>
          <w:rFonts w:hint="eastAsia" w:ascii="宋体" w:hAnsi="宋体" w:eastAsia="宋体" w:cs="宋体"/>
          <w:sz w:val="21"/>
          <w:szCs w:val="21"/>
          <w:highlight w:val="none"/>
        </w:rPr>
        <w:t>14.5如果比选响应文件没有按本须知第</w:t>
      </w:r>
      <w:r>
        <w:rPr>
          <w:rFonts w:hint="eastAsia" w:ascii="宋体" w:hAnsi="宋体" w:eastAsia="宋体" w:cs="宋体"/>
          <w:sz w:val="21"/>
          <w:szCs w:val="21"/>
          <w:highlight w:val="none"/>
          <w:u w:val="single"/>
        </w:rPr>
        <w:t>14</w:t>
      </w:r>
      <w:r>
        <w:rPr>
          <w:rFonts w:hint="eastAsia" w:ascii="宋体" w:hAnsi="宋体" w:eastAsia="宋体" w:cs="宋体"/>
          <w:sz w:val="21"/>
          <w:szCs w:val="21"/>
          <w:highlight w:val="none"/>
        </w:rPr>
        <w:t>条的有关规定进行标记和密封，采购人将不承担比选响应文件错放或提前开封的责任。</w:t>
      </w:r>
    </w:p>
    <w:p w14:paraId="609A1DD7">
      <w:pPr>
        <w:adjustRightInd w:val="0"/>
        <w:snapToGrid w:val="0"/>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15.  比选响应文件的递交</w:t>
      </w:r>
    </w:p>
    <w:p w14:paraId="38C1B362">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15.1比选供应商必须按比选邀请书和本须知前附表第</w:t>
      </w:r>
      <w:r>
        <w:rPr>
          <w:rFonts w:hint="eastAsia" w:ascii="宋体" w:hAnsi="宋体" w:eastAsia="宋体" w:cs="宋体"/>
          <w:sz w:val="21"/>
          <w:szCs w:val="21"/>
          <w:highlight w:val="none"/>
          <w:u w:val="single"/>
        </w:rPr>
        <w:t>10</w:t>
      </w:r>
      <w:r>
        <w:rPr>
          <w:rFonts w:hint="eastAsia" w:ascii="宋体" w:hAnsi="宋体" w:eastAsia="宋体" w:cs="宋体"/>
          <w:sz w:val="21"/>
          <w:szCs w:val="21"/>
          <w:highlight w:val="none"/>
        </w:rPr>
        <w:t>条中规定的地点，在规定的时间内将比选响应文件送达。</w:t>
      </w:r>
    </w:p>
    <w:p w14:paraId="26ED7D8C">
      <w:pPr>
        <w:adjustRightInd w:val="0"/>
        <w:snapToGrid w:val="0"/>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16.  迟到的比选响应文件</w:t>
      </w:r>
    </w:p>
    <w:p w14:paraId="2CE8C32F">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16.1采购人对于迟到的比选响应文件将不予接收，并退还比选供应商。</w:t>
      </w:r>
    </w:p>
    <w:p w14:paraId="21D2A9A2">
      <w:pPr>
        <w:adjustRightInd w:val="0"/>
        <w:snapToGrid w:val="0"/>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17.  比选响应文件的修改与撤回</w:t>
      </w:r>
    </w:p>
    <w:p w14:paraId="2FD0EDE4">
      <w:pPr>
        <w:adjustRightInd w:val="0"/>
        <w:snapToGrid w:val="0"/>
        <w:spacing w:line="360" w:lineRule="auto"/>
        <w:ind w:left="480" w:hanging="420" w:hangingChars="200"/>
        <w:rPr>
          <w:rFonts w:hint="eastAsia" w:ascii="宋体" w:hAnsi="宋体" w:eastAsia="宋体" w:cs="宋体"/>
          <w:sz w:val="21"/>
          <w:szCs w:val="21"/>
          <w:highlight w:val="none"/>
        </w:rPr>
      </w:pPr>
      <w:r>
        <w:rPr>
          <w:rFonts w:hint="eastAsia" w:ascii="宋体" w:hAnsi="宋体" w:eastAsia="宋体" w:cs="宋体"/>
          <w:sz w:val="21"/>
          <w:szCs w:val="21"/>
          <w:highlight w:val="none"/>
        </w:rPr>
        <w:t>17.1比选供应商在递交比选响应文件以后，在规定的比选截止时间之前，可以书面形式向采购人递交请求修改其比选响应文件的通知。但在比选截止以后，不能修改比选响应文件。</w:t>
      </w:r>
    </w:p>
    <w:p w14:paraId="10D44A24">
      <w:pPr>
        <w:adjustRightInd w:val="0"/>
        <w:snapToGrid w:val="0"/>
        <w:spacing w:line="360" w:lineRule="auto"/>
        <w:ind w:left="480" w:hanging="420" w:hangingChars="200"/>
        <w:rPr>
          <w:rFonts w:hint="eastAsia" w:ascii="宋体" w:hAnsi="宋体" w:eastAsia="宋体" w:cs="宋体"/>
          <w:sz w:val="21"/>
          <w:szCs w:val="21"/>
          <w:highlight w:val="none"/>
        </w:rPr>
      </w:pPr>
      <w:r>
        <w:rPr>
          <w:rFonts w:hint="eastAsia" w:ascii="宋体" w:hAnsi="宋体" w:eastAsia="宋体" w:cs="宋体"/>
          <w:sz w:val="21"/>
          <w:szCs w:val="21"/>
          <w:highlight w:val="none"/>
        </w:rPr>
        <w:t>17.2比选供应商修改后的比选响应文件或撤回通知，应按本须知第</w:t>
      </w:r>
      <w:r>
        <w:rPr>
          <w:rFonts w:hint="eastAsia" w:ascii="宋体" w:hAnsi="宋体" w:eastAsia="宋体" w:cs="宋体"/>
          <w:sz w:val="21"/>
          <w:szCs w:val="21"/>
          <w:highlight w:val="none"/>
          <w:u w:val="single"/>
        </w:rPr>
        <w:t>13</w:t>
      </w:r>
      <w:r>
        <w:rPr>
          <w:rFonts w:hint="eastAsia" w:ascii="宋体" w:hAnsi="宋体" w:eastAsia="宋体" w:cs="宋体"/>
          <w:sz w:val="21"/>
          <w:szCs w:val="21"/>
          <w:highlight w:val="none"/>
        </w:rPr>
        <w:t>条和第</w:t>
      </w:r>
      <w:r>
        <w:rPr>
          <w:rFonts w:hint="eastAsia" w:ascii="宋体" w:hAnsi="宋体" w:eastAsia="宋体" w:cs="宋体"/>
          <w:sz w:val="21"/>
          <w:szCs w:val="21"/>
          <w:highlight w:val="none"/>
          <w:u w:val="single"/>
        </w:rPr>
        <w:t>14</w:t>
      </w:r>
      <w:r>
        <w:rPr>
          <w:rFonts w:hint="eastAsia" w:ascii="宋体" w:hAnsi="宋体" w:eastAsia="宋体" w:cs="宋体"/>
          <w:sz w:val="21"/>
          <w:szCs w:val="21"/>
          <w:highlight w:val="none"/>
        </w:rPr>
        <w:t>条的规定编制、签署、密封、标志和递交。</w:t>
      </w:r>
    </w:p>
    <w:p w14:paraId="429C47A1">
      <w:pPr>
        <w:adjustRightInd w:val="0"/>
        <w:snapToGrid w:val="0"/>
        <w:spacing w:line="360" w:lineRule="auto"/>
        <w:ind w:left="480" w:hanging="420" w:hangingChars="200"/>
        <w:rPr>
          <w:rFonts w:hint="eastAsia" w:ascii="宋体" w:hAnsi="宋体" w:eastAsia="宋体" w:cs="宋体"/>
          <w:sz w:val="21"/>
          <w:szCs w:val="21"/>
          <w:highlight w:val="none"/>
        </w:rPr>
      </w:pPr>
      <w:r>
        <w:rPr>
          <w:rFonts w:hint="eastAsia" w:ascii="宋体" w:hAnsi="宋体" w:eastAsia="宋体" w:cs="宋体"/>
          <w:sz w:val="21"/>
          <w:szCs w:val="21"/>
          <w:highlight w:val="none"/>
        </w:rPr>
        <w:t>17.3根据本须知第</w:t>
      </w:r>
      <w:r>
        <w:rPr>
          <w:rFonts w:hint="eastAsia" w:ascii="宋体" w:hAnsi="宋体" w:eastAsia="宋体" w:cs="宋体"/>
          <w:sz w:val="21"/>
          <w:szCs w:val="21"/>
          <w:highlight w:val="none"/>
          <w:u w:val="single"/>
        </w:rPr>
        <w:t>12.6</w:t>
      </w:r>
      <w:r>
        <w:rPr>
          <w:rFonts w:hint="eastAsia" w:ascii="宋体" w:hAnsi="宋体" w:eastAsia="宋体" w:cs="宋体"/>
          <w:sz w:val="21"/>
          <w:szCs w:val="21"/>
          <w:highlight w:val="none"/>
        </w:rPr>
        <w:t>款的规定，在比选截止时间与比选文件中规定的比选有效期终止日之间的这段时间内，比选供应商不能撤回比选响应文件，否则其比选保证金将被没收。</w:t>
      </w:r>
    </w:p>
    <w:p w14:paraId="3AFFC9D0">
      <w:pPr>
        <w:pStyle w:val="3"/>
        <w:spacing w:line="360" w:lineRule="auto"/>
        <w:rPr>
          <w:rFonts w:hint="eastAsia" w:ascii="宋体" w:hAnsi="宋体" w:eastAsia="宋体" w:cs="宋体"/>
          <w:sz w:val="21"/>
          <w:szCs w:val="21"/>
          <w:highlight w:val="none"/>
        </w:rPr>
      </w:pPr>
      <w:bookmarkStart w:id="44" w:name="_Toc33340839"/>
      <w:bookmarkStart w:id="45" w:name="_Toc24083814"/>
      <w:bookmarkStart w:id="46" w:name="_Toc24455234"/>
      <w:bookmarkStart w:id="47" w:name="_Toc68963465"/>
      <w:bookmarkStart w:id="48" w:name="_Toc15462"/>
      <w:bookmarkStart w:id="49" w:name="_Toc16973"/>
      <w:bookmarkStart w:id="50" w:name="_Toc13022"/>
      <w:bookmarkStart w:id="51" w:name="_Toc6519"/>
      <w:r>
        <w:rPr>
          <w:rFonts w:hint="eastAsia" w:ascii="宋体" w:hAnsi="宋体" w:eastAsia="宋体" w:cs="宋体"/>
          <w:sz w:val="21"/>
          <w:szCs w:val="21"/>
          <w:highlight w:val="none"/>
        </w:rPr>
        <w:t>五、比选与评</w:t>
      </w:r>
      <w:bookmarkEnd w:id="44"/>
      <w:bookmarkEnd w:id="45"/>
      <w:bookmarkEnd w:id="46"/>
      <w:bookmarkEnd w:id="47"/>
      <w:r>
        <w:rPr>
          <w:rFonts w:hint="eastAsia" w:ascii="宋体" w:hAnsi="宋体" w:eastAsia="宋体" w:cs="宋体"/>
          <w:sz w:val="21"/>
          <w:szCs w:val="21"/>
          <w:highlight w:val="none"/>
        </w:rPr>
        <w:t>审</w:t>
      </w:r>
      <w:bookmarkEnd w:id="48"/>
      <w:bookmarkEnd w:id="49"/>
      <w:bookmarkEnd w:id="50"/>
      <w:bookmarkEnd w:id="51"/>
    </w:p>
    <w:p w14:paraId="4974D19F">
      <w:pPr>
        <w:adjustRightInd w:val="0"/>
        <w:snapToGrid w:val="0"/>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18.  比选</w:t>
      </w:r>
    </w:p>
    <w:p w14:paraId="369471DD">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18.1采购人将按照比选邀请书及本须知前附表中规定的时间和地点举行比选会议。</w:t>
      </w:r>
    </w:p>
    <w:p w14:paraId="5C4C3DBD">
      <w:pPr>
        <w:adjustRightInd w:val="0"/>
        <w:snapToGrid w:val="0"/>
        <w:spacing w:line="360" w:lineRule="auto"/>
        <w:ind w:left="480" w:hanging="420" w:hangingChars="200"/>
        <w:rPr>
          <w:rFonts w:hint="eastAsia" w:ascii="宋体" w:hAnsi="宋体" w:eastAsia="宋体" w:cs="宋体"/>
          <w:sz w:val="21"/>
          <w:szCs w:val="21"/>
          <w:highlight w:val="none"/>
        </w:rPr>
      </w:pPr>
      <w:r>
        <w:rPr>
          <w:rFonts w:hint="eastAsia" w:ascii="宋体" w:hAnsi="宋体" w:eastAsia="宋体" w:cs="宋体"/>
          <w:sz w:val="21"/>
          <w:szCs w:val="21"/>
          <w:highlight w:val="none"/>
        </w:rPr>
        <w:t>18.2比选会议将邀请所有已报名的比选供应商参加，参加比选的比选供应商需报名并已获取比选文件，比选当天比选供应商代表应签名报到，以证明其出席比选会议。比选供应商未派代表出席比选会议，将视为默认比选结果。</w:t>
      </w:r>
    </w:p>
    <w:p w14:paraId="1304DD38">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18.3按规定提交合格的撤回通知的比选响应文件不予开封，并退回给比选供应商。</w:t>
      </w:r>
    </w:p>
    <w:p w14:paraId="126393EE">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比选响应文件有下列情况之一的，采购人不予接受：</w:t>
      </w:r>
    </w:p>
    <w:p w14:paraId="7D6C1C3E">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1）比选响应文件逾期送达的；</w:t>
      </w:r>
    </w:p>
    <w:p w14:paraId="2A078502">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2）比选响应文件未进行密封的。</w:t>
      </w:r>
    </w:p>
    <w:p w14:paraId="2C92B3C8">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18.4比选程序：</w:t>
      </w:r>
    </w:p>
    <w:p w14:paraId="724F89E6">
      <w:pPr>
        <w:numPr>
          <w:ilvl w:val="0"/>
          <w:numId w:val="8"/>
        </w:num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比选会议将由采购人</w:t>
      </w:r>
      <w:r>
        <w:rPr>
          <w:rFonts w:hint="eastAsia" w:ascii="宋体" w:hAnsi="宋体" w:eastAsia="宋体" w:cs="宋体"/>
          <w:sz w:val="21"/>
          <w:szCs w:val="21"/>
          <w:highlight w:val="none"/>
          <w:lang w:val="en-US" w:eastAsia="zh-CN"/>
        </w:rPr>
        <w:t>或咨询机构</w:t>
      </w:r>
      <w:r>
        <w:rPr>
          <w:rFonts w:hint="eastAsia" w:ascii="宋体" w:hAnsi="宋体" w:eastAsia="宋体" w:cs="宋体"/>
          <w:sz w:val="21"/>
          <w:szCs w:val="21"/>
          <w:highlight w:val="none"/>
        </w:rPr>
        <w:t>组织并主持；</w:t>
      </w:r>
    </w:p>
    <w:p w14:paraId="1EF3548C">
      <w:pPr>
        <w:numPr>
          <w:ilvl w:val="0"/>
          <w:numId w:val="8"/>
        </w:num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比选供应商代表或公证监督机构将检查比选响应文件的密封情况；</w:t>
      </w:r>
    </w:p>
    <w:p w14:paraId="386910CE">
      <w:pPr>
        <w:numPr>
          <w:ilvl w:val="0"/>
          <w:numId w:val="8"/>
        </w:num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经确认无误，由工作人员当众拆封，宣读比选供应商名称、修改内容（如有）以及采购人认为适当的其他内容；</w:t>
      </w:r>
    </w:p>
    <w:p w14:paraId="4DB7B194">
      <w:pPr>
        <w:numPr>
          <w:ilvl w:val="0"/>
          <w:numId w:val="8"/>
        </w:num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按规定提交合格撤回通知的比选响应文件不予开封；</w:t>
      </w:r>
    </w:p>
    <w:p w14:paraId="3907F845">
      <w:pPr>
        <w:adjustRightInd w:val="0"/>
        <w:snapToGrid w:val="0"/>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19.  评审委员会与评审</w:t>
      </w:r>
    </w:p>
    <w:p w14:paraId="71939420">
      <w:pPr>
        <w:adjustRightInd w:val="0"/>
        <w:snapToGrid w:val="0"/>
        <w:spacing w:line="360" w:lineRule="auto"/>
        <w:ind w:left="480" w:hanging="420" w:hangingChars="200"/>
        <w:rPr>
          <w:rFonts w:hint="eastAsia" w:ascii="宋体" w:hAnsi="宋体" w:eastAsia="宋体" w:cs="宋体"/>
          <w:sz w:val="21"/>
          <w:szCs w:val="21"/>
          <w:highlight w:val="none"/>
        </w:rPr>
      </w:pPr>
      <w:r>
        <w:rPr>
          <w:rFonts w:hint="eastAsia" w:ascii="宋体" w:hAnsi="宋体" w:eastAsia="宋体" w:cs="宋体"/>
          <w:sz w:val="21"/>
          <w:szCs w:val="21"/>
          <w:highlight w:val="none"/>
        </w:rPr>
        <w:t>19.1采购人将按照有关规定依法组建评审委员会。</w:t>
      </w:r>
    </w:p>
    <w:p w14:paraId="2A15E997">
      <w:pPr>
        <w:adjustRightInd w:val="0"/>
        <w:snapToGrid w:val="0"/>
        <w:spacing w:line="360" w:lineRule="auto"/>
        <w:ind w:left="600" w:hanging="525" w:hangingChars="250"/>
        <w:rPr>
          <w:rFonts w:hint="eastAsia" w:ascii="宋体" w:hAnsi="宋体" w:eastAsia="宋体" w:cs="宋体"/>
          <w:sz w:val="21"/>
          <w:szCs w:val="21"/>
          <w:highlight w:val="none"/>
        </w:rPr>
      </w:pPr>
      <w:r>
        <w:rPr>
          <w:rFonts w:hint="eastAsia" w:ascii="宋体" w:hAnsi="宋体" w:eastAsia="宋体" w:cs="宋体"/>
          <w:sz w:val="21"/>
          <w:szCs w:val="21"/>
          <w:highlight w:val="none"/>
        </w:rPr>
        <w:t>19.2评审由评审委员会负责，对所有比选响应文件的评估都将采用相同的程序和标准。</w:t>
      </w:r>
    </w:p>
    <w:p w14:paraId="02BADAAD">
      <w:pPr>
        <w:adjustRightInd w:val="0"/>
        <w:snapToGrid w:val="0"/>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20.  初步审查</w:t>
      </w:r>
    </w:p>
    <w:p w14:paraId="44A02248">
      <w:pPr>
        <w:adjustRightInd w:val="0"/>
        <w:snapToGrid w:val="0"/>
        <w:spacing w:line="360" w:lineRule="auto"/>
        <w:ind w:left="480" w:hanging="420" w:hangingChars="200"/>
        <w:rPr>
          <w:rFonts w:hint="eastAsia" w:ascii="宋体" w:hAnsi="宋体" w:eastAsia="宋体" w:cs="宋体"/>
          <w:sz w:val="21"/>
          <w:szCs w:val="21"/>
          <w:highlight w:val="none"/>
        </w:rPr>
      </w:pPr>
      <w:r>
        <w:rPr>
          <w:rFonts w:hint="eastAsia" w:ascii="宋体" w:hAnsi="宋体" w:eastAsia="宋体" w:cs="宋体"/>
          <w:sz w:val="21"/>
          <w:szCs w:val="21"/>
          <w:highlight w:val="none"/>
        </w:rPr>
        <w:t>20.1在比选采购中，出现下列情形之一的，应予拒绝：</w:t>
      </w:r>
    </w:p>
    <w:p w14:paraId="136EB69D">
      <w:pPr>
        <w:adjustRightInd w:val="0"/>
        <w:snapToGrid w:val="0"/>
        <w:spacing w:line="360" w:lineRule="auto"/>
        <w:ind w:left="470" w:leftChars="202" w:hanging="46" w:hangingChars="22"/>
        <w:rPr>
          <w:rFonts w:hint="eastAsia" w:ascii="宋体" w:hAnsi="宋体" w:eastAsia="宋体" w:cs="宋体"/>
          <w:sz w:val="21"/>
          <w:szCs w:val="21"/>
          <w:highlight w:val="none"/>
        </w:rPr>
      </w:pPr>
      <w:r>
        <w:rPr>
          <w:rFonts w:hint="eastAsia" w:ascii="宋体" w:hAnsi="宋体" w:eastAsia="宋体" w:cs="宋体"/>
          <w:sz w:val="21"/>
          <w:szCs w:val="21"/>
          <w:highlight w:val="none"/>
        </w:rPr>
        <w:t>1）出现影响采购公正的违法、违规行为的；</w:t>
      </w:r>
    </w:p>
    <w:p w14:paraId="274EFAC7">
      <w:pPr>
        <w:adjustRightInd w:val="0"/>
        <w:snapToGrid w:val="0"/>
        <w:spacing w:line="360" w:lineRule="auto"/>
        <w:ind w:left="470" w:leftChars="202" w:hanging="46" w:hangingChars="22"/>
        <w:rPr>
          <w:rFonts w:hint="eastAsia" w:ascii="宋体" w:hAnsi="宋体" w:eastAsia="宋体" w:cs="宋体"/>
          <w:sz w:val="21"/>
          <w:szCs w:val="21"/>
          <w:highlight w:val="none"/>
        </w:rPr>
      </w:pPr>
      <w:r>
        <w:rPr>
          <w:rFonts w:hint="eastAsia" w:ascii="宋体" w:hAnsi="宋体" w:eastAsia="宋体" w:cs="宋体"/>
          <w:sz w:val="21"/>
          <w:szCs w:val="21"/>
          <w:highlight w:val="none"/>
        </w:rPr>
        <w:t>2）比选供应商的报价均超过了采购预算，采购人不能支付的。</w:t>
      </w:r>
    </w:p>
    <w:p w14:paraId="4F3A6737">
      <w:pPr>
        <w:adjustRightInd w:val="0"/>
        <w:snapToGrid w:val="0"/>
        <w:spacing w:line="360" w:lineRule="auto"/>
        <w:ind w:left="480" w:hanging="420" w:hangingChars="200"/>
        <w:rPr>
          <w:rFonts w:hint="eastAsia" w:ascii="宋体" w:hAnsi="宋体" w:eastAsia="宋体" w:cs="宋体"/>
          <w:sz w:val="21"/>
          <w:szCs w:val="21"/>
          <w:highlight w:val="none"/>
        </w:rPr>
      </w:pPr>
      <w:r>
        <w:rPr>
          <w:rFonts w:hint="eastAsia" w:ascii="宋体" w:hAnsi="宋体" w:eastAsia="宋体" w:cs="宋体"/>
          <w:sz w:val="21"/>
          <w:szCs w:val="21"/>
          <w:highlight w:val="none"/>
        </w:rPr>
        <w:t>20.2评审前，评审委员会将审查每一比选响应文件是否对比选文件提出的所有实质性要求和条件做出响应，未能在实质性上响应的比选，将按无效处理。只有通过初步审查的比选响应文件才能进入下一步评审程序。</w:t>
      </w:r>
    </w:p>
    <w:p w14:paraId="681A12AE">
      <w:pPr>
        <w:adjustRightInd w:val="0"/>
        <w:snapToGrid w:val="0"/>
        <w:spacing w:line="360" w:lineRule="auto"/>
        <w:ind w:left="480" w:hanging="420" w:hangingChars="200"/>
        <w:rPr>
          <w:rFonts w:hint="eastAsia" w:ascii="宋体" w:hAnsi="宋体" w:eastAsia="宋体" w:cs="宋体"/>
          <w:sz w:val="21"/>
          <w:szCs w:val="21"/>
          <w:highlight w:val="none"/>
        </w:rPr>
      </w:pPr>
      <w:r>
        <w:rPr>
          <w:rFonts w:hint="eastAsia" w:ascii="宋体" w:hAnsi="宋体" w:eastAsia="宋体" w:cs="宋体"/>
          <w:sz w:val="21"/>
          <w:szCs w:val="21"/>
          <w:highlight w:val="none"/>
        </w:rPr>
        <w:t>20.3评审委员会根据比选文件要求，审查并逐项列出比选响应文件的全部偏差。下列情况属于重大偏差：</w:t>
      </w:r>
    </w:p>
    <w:p w14:paraId="69831A44">
      <w:pPr>
        <w:numPr>
          <w:ilvl w:val="0"/>
          <w:numId w:val="9"/>
        </w:num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比选响应文件内容不完整的；</w:t>
      </w:r>
    </w:p>
    <w:p w14:paraId="36CB9E57">
      <w:pPr>
        <w:numPr>
          <w:ilvl w:val="0"/>
          <w:numId w:val="9"/>
        </w:num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比选供应商资格不符合比选文件要求的；</w:t>
      </w:r>
    </w:p>
    <w:p w14:paraId="363631EF">
      <w:pPr>
        <w:numPr>
          <w:ilvl w:val="0"/>
          <w:numId w:val="9"/>
        </w:num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比选响应文件没有法定代表人或其授权代理人签字或加盖公章；</w:t>
      </w:r>
    </w:p>
    <w:p w14:paraId="7DA90460">
      <w:pPr>
        <w:numPr>
          <w:ilvl w:val="0"/>
          <w:numId w:val="9"/>
        </w:num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比选响应文件中附有采购人不能接受的条件或对合同中约定的采购人和比选供应商的义务有重大的限制，且纠正这些偏差将会对其他实质上响应比选文件要求的比选供应商的竞争地位产生不公正的影响；</w:t>
      </w:r>
    </w:p>
    <w:p w14:paraId="4472799A">
      <w:pPr>
        <w:numPr>
          <w:ilvl w:val="0"/>
          <w:numId w:val="9"/>
        </w:num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不符合比选文件规定的其他实质性要求。</w:t>
      </w:r>
    </w:p>
    <w:p w14:paraId="55B5ECE9">
      <w:pPr>
        <w:adjustRightInd w:val="0"/>
        <w:snapToGrid w:val="0"/>
        <w:spacing w:line="360" w:lineRule="auto"/>
        <w:ind w:left="840" w:leftChars="400"/>
        <w:rPr>
          <w:rFonts w:hint="eastAsia" w:ascii="宋体" w:hAnsi="宋体" w:eastAsia="宋体" w:cs="宋体"/>
          <w:sz w:val="21"/>
          <w:szCs w:val="21"/>
          <w:highlight w:val="none"/>
        </w:rPr>
      </w:pPr>
      <w:r>
        <w:rPr>
          <w:rFonts w:hint="eastAsia" w:ascii="宋体" w:hAnsi="宋体" w:eastAsia="宋体" w:cs="宋体"/>
          <w:sz w:val="21"/>
          <w:szCs w:val="21"/>
          <w:highlight w:val="none"/>
        </w:rPr>
        <w:t>相应比选文件有上述情形之一的，即构成未对比选文件做出实质性响应，将按无效处理，不允许比选供应商通过修改或撤消其不符合要求的偏差，使之成为具有响应性的比选。</w:t>
      </w:r>
    </w:p>
    <w:p w14:paraId="42B42614">
      <w:pPr>
        <w:numPr>
          <w:ilvl w:val="0"/>
          <w:numId w:val="0"/>
        </w:numPr>
        <w:adjustRightInd w:val="0"/>
        <w:snapToGrid w:val="0"/>
        <w:spacing w:line="360" w:lineRule="auto"/>
        <w:ind w:left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21.</w:t>
      </w:r>
      <w:r>
        <w:rPr>
          <w:rFonts w:hint="eastAsia" w:ascii="宋体" w:hAnsi="宋体" w:eastAsia="宋体" w:cs="宋体"/>
          <w:b/>
          <w:bCs/>
          <w:sz w:val="21"/>
          <w:szCs w:val="21"/>
          <w:highlight w:val="none"/>
        </w:rPr>
        <w:t>选响应文件的澄清</w:t>
      </w:r>
    </w:p>
    <w:p w14:paraId="7900A2C5">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bCs/>
          <w:sz w:val="21"/>
          <w:szCs w:val="21"/>
          <w:highlight w:val="none"/>
        </w:rPr>
        <w:t>评审阶段</w:t>
      </w:r>
      <w:r>
        <w:rPr>
          <w:rFonts w:hint="eastAsia" w:ascii="宋体" w:hAnsi="宋体" w:eastAsia="宋体" w:cs="宋体"/>
          <w:b/>
          <w:sz w:val="21"/>
          <w:szCs w:val="21"/>
          <w:highlight w:val="none"/>
        </w:rPr>
        <w:t>，评审委员会认为需要时，可要求比选供应商现场澄清其比选响应文件中的问题，或者要求补充某些资料，对此，比选供应商不得拒绝。</w:t>
      </w:r>
    </w:p>
    <w:p w14:paraId="272F202D">
      <w:pPr>
        <w:adjustRightInd w:val="0"/>
        <w:snapToGrid w:val="0"/>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23．比选响应文件的评价与比较</w:t>
      </w:r>
    </w:p>
    <w:p w14:paraId="0E9D2073">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23．1本项目采用综合评分法进行评审，具体评审办法及标准详见第六章。</w:t>
      </w:r>
    </w:p>
    <w:p w14:paraId="2CEF6963">
      <w:pPr>
        <w:adjustRightInd w:val="0"/>
        <w:snapToGrid w:val="0"/>
        <w:spacing w:line="360" w:lineRule="auto"/>
        <w:ind w:left="720" w:hanging="630" w:hangingChars="300"/>
        <w:rPr>
          <w:rFonts w:hint="eastAsia" w:ascii="宋体" w:hAnsi="宋体" w:eastAsia="宋体" w:cs="宋体"/>
          <w:sz w:val="21"/>
          <w:szCs w:val="21"/>
          <w:highlight w:val="none"/>
        </w:rPr>
      </w:pPr>
      <w:r>
        <w:rPr>
          <w:rFonts w:hint="eastAsia" w:ascii="宋体" w:hAnsi="宋体" w:eastAsia="宋体" w:cs="宋体"/>
          <w:sz w:val="21"/>
          <w:szCs w:val="21"/>
          <w:highlight w:val="none"/>
        </w:rPr>
        <w:t>23．2评委会将根据各比选供应商综合评分得分推荐排名第一名的单位为本项目的成交候选供应商。</w:t>
      </w:r>
    </w:p>
    <w:p w14:paraId="5F46C9A6">
      <w:pPr>
        <w:pStyle w:val="3"/>
        <w:spacing w:line="360" w:lineRule="auto"/>
        <w:rPr>
          <w:rFonts w:hint="eastAsia" w:ascii="宋体" w:hAnsi="宋体" w:eastAsia="宋体" w:cs="宋体"/>
          <w:sz w:val="21"/>
          <w:szCs w:val="21"/>
          <w:highlight w:val="none"/>
        </w:rPr>
      </w:pPr>
      <w:bookmarkStart w:id="52" w:name="_Toc27639"/>
      <w:bookmarkStart w:id="53" w:name="_Toc24456368"/>
      <w:bookmarkStart w:id="54" w:name="_Toc329"/>
      <w:bookmarkStart w:id="55" w:name="_Toc33340840"/>
      <w:bookmarkStart w:id="56" w:name="_Toc24083815"/>
      <w:bookmarkStart w:id="57" w:name="_Toc24455235"/>
      <w:bookmarkStart w:id="58" w:name="_Toc24711813"/>
      <w:bookmarkStart w:id="59" w:name="_Toc68963466"/>
      <w:bookmarkStart w:id="60" w:name="_Toc24672"/>
      <w:bookmarkStart w:id="61" w:name="_Toc21030"/>
      <w:r>
        <w:rPr>
          <w:rFonts w:hint="eastAsia" w:ascii="宋体" w:hAnsi="宋体" w:eastAsia="宋体" w:cs="宋体"/>
          <w:sz w:val="21"/>
          <w:szCs w:val="21"/>
          <w:highlight w:val="none"/>
        </w:rPr>
        <w:t>六、合同的授予</w:t>
      </w:r>
      <w:bookmarkEnd w:id="52"/>
      <w:bookmarkEnd w:id="53"/>
      <w:bookmarkEnd w:id="54"/>
      <w:bookmarkEnd w:id="55"/>
      <w:bookmarkEnd w:id="56"/>
      <w:bookmarkEnd w:id="57"/>
      <w:bookmarkEnd w:id="58"/>
      <w:bookmarkEnd w:id="59"/>
      <w:bookmarkEnd w:id="60"/>
      <w:bookmarkEnd w:id="61"/>
    </w:p>
    <w:p w14:paraId="47E02959">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24．合同授予的条件</w:t>
      </w:r>
    </w:p>
    <w:p w14:paraId="759D42EF">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24．1采购人将把合同授予按本须知第</w:t>
      </w:r>
      <w:r>
        <w:rPr>
          <w:rFonts w:hint="eastAsia" w:ascii="宋体" w:hAnsi="宋体" w:eastAsia="宋体" w:cs="宋体"/>
          <w:sz w:val="21"/>
          <w:szCs w:val="21"/>
          <w:highlight w:val="none"/>
          <w:u w:val="single"/>
        </w:rPr>
        <w:t>23</w:t>
      </w:r>
      <w:r>
        <w:rPr>
          <w:rFonts w:hint="eastAsia" w:ascii="宋体" w:hAnsi="宋体" w:eastAsia="宋体" w:cs="宋体"/>
          <w:sz w:val="21"/>
          <w:szCs w:val="21"/>
          <w:highlight w:val="none"/>
        </w:rPr>
        <w:t>条规定评选出的比选供应商。</w:t>
      </w:r>
    </w:p>
    <w:p w14:paraId="470D105A">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25．接受和拒绝比选的权利</w:t>
      </w:r>
    </w:p>
    <w:p w14:paraId="7916E044">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在签约通知书发出之前，采购人有权接受或拒绝任何比选，宣布无效或拒绝所有比选，并对由此而引起的对比选供应商的影响不承担责任，也不解释原因。</w:t>
      </w:r>
    </w:p>
    <w:p w14:paraId="129C770B">
      <w:pPr>
        <w:numPr>
          <w:ilvl w:val="255"/>
          <w:numId w:val="0"/>
        </w:num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26．签约通知书</w:t>
      </w:r>
    </w:p>
    <w:p w14:paraId="61F6BEEA">
      <w:pPr>
        <w:adjustRightInd w:val="0"/>
        <w:snapToGrid w:val="0"/>
        <w:spacing w:line="360" w:lineRule="auto"/>
        <w:ind w:left="600" w:hanging="525" w:hangingChars="250"/>
        <w:rPr>
          <w:rFonts w:hint="eastAsia" w:ascii="宋体" w:hAnsi="宋体" w:eastAsia="宋体" w:cs="宋体"/>
          <w:sz w:val="21"/>
          <w:szCs w:val="21"/>
          <w:highlight w:val="none"/>
        </w:rPr>
      </w:pPr>
      <w:r>
        <w:rPr>
          <w:rFonts w:hint="eastAsia" w:ascii="宋体" w:hAnsi="宋体" w:eastAsia="宋体" w:cs="宋体"/>
          <w:sz w:val="21"/>
          <w:szCs w:val="21"/>
          <w:highlight w:val="none"/>
        </w:rPr>
        <w:t>26．1评审结束后，采购人在比选响应文件有效期截止前向成交供应商发出《签约通知书》,并同时将中选结果在《</w:t>
      </w:r>
      <w:r>
        <w:rPr>
          <w:rFonts w:hint="eastAsia" w:ascii="宋体" w:hAnsi="宋体" w:eastAsia="宋体" w:cs="宋体"/>
          <w:sz w:val="21"/>
          <w:szCs w:val="21"/>
          <w:highlight w:val="none"/>
          <w:lang w:eastAsia="zh-CN"/>
        </w:rPr>
        <w:t>中国采购与招标网</w:t>
      </w:r>
      <w:r>
        <w:rPr>
          <w:rFonts w:hint="eastAsia" w:ascii="宋体" w:hAnsi="宋体" w:eastAsia="宋体" w:cs="宋体"/>
          <w:sz w:val="21"/>
          <w:szCs w:val="21"/>
          <w:highlight w:val="none"/>
        </w:rPr>
        <w:t>》网站公示。</w:t>
      </w:r>
    </w:p>
    <w:p w14:paraId="032A0183">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26．2《签约通知书》是合同文件的组成部分。</w:t>
      </w:r>
    </w:p>
    <w:p w14:paraId="377DEAA4">
      <w:pPr>
        <w:numPr>
          <w:ilvl w:val="0"/>
          <w:numId w:val="10"/>
        </w:numPr>
        <w:adjustRightInd w:val="0"/>
        <w:snapToGrid w:val="0"/>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签订合同</w:t>
      </w:r>
    </w:p>
    <w:p w14:paraId="196D95FB">
      <w:pPr>
        <w:adjustRightInd w:val="0"/>
        <w:snapToGrid w:val="0"/>
        <w:spacing w:line="360" w:lineRule="auto"/>
        <w:ind w:left="708" w:hanging="619" w:hangingChars="295"/>
        <w:rPr>
          <w:rFonts w:hint="eastAsia" w:ascii="宋体" w:hAnsi="宋体" w:eastAsia="宋体" w:cs="宋体"/>
          <w:sz w:val="24"/>
          <w:szCs w:val="21"/>
          <w:highlight w:val="none"/>
        </w:rPr>
      </w:pPr>
      <w:r>
        <w:rPr>
          <w:rFonts w:hint="eastAsia" w:ascii="宋体" w:hAnsi="宋体" w:eastAsia="宋体" w:cs="宋体"/>
          <w:sz w:val="21"/>
          <w:szCs w:val="21"/>
          <w:highlight w:val="none"/>
        </w:rPr>
        <w:t>27．1成交供应商应在接到签约通知书后</w:t>
      </w:r>
      <w:r>
        <w:rPr>
          <w:rFonts w:hint="eastAsia" w:ascii="宋体" w:hAnsi="宋体" w:eastAsia="宋体" w:cs="宋体"/>
          <w:sz w:val="21"/>
          <w:szCs w:val="21"/>
          <w:highlight w:val="none"/>
          <w:u w:val="single"/>
        </w:rPr>
        <w:t>30</w:t>
      </w:r>
      <w:r>
        <w:rPr>
          <w:rFonts w:hint="eastAsia" w:ascii="宋体" w:hAnsi="宋体" w:eastAsia="宋体" w:cs="宋体"/>
          <w:sz w:val="21"/>
          <w:szCs w:val="21"/>
          <w:highlight w:val="none"/>
        </w:rPr>
        <w:t>天内，根据比选文件和成交人的比选响应文件与采购人签订服务合同，采购人和成交供应商不得另行订立背离合同实质性内容的其它协议。</w:t>
      </w:r>
    </w:p>
    <w:p w14:paraId="2F2F3675">
      <w:pPr>
        <w:pStyle w:val="2"/>
        <w:rPr>
          <w:rFonts w:hint="eastAsia" w:ascii="宋体" w:hAnsi="宋体" w:eastAsia="宋体" w:cs="宋体"/>
          <w:sz w:val="44"/>
          <w:highlight w:val="none"/>
        </w:rPr>
      </w:pPr>
      <w:r>
        <w:rPr>
          <w:rFonts w:hint="eastAsia" w:ascii="宋体" w:hAnsi="宋体" w:eastAsia="宋体" w:cs="宋体"/>
          <w:sz w:val="44"/>
          <w:highlight w:val="none"/>
        </w:rPr>
        <w:br w:type="page"/>
      </w:r>
      <w:bookmarkStart w:id="62" w:name="_Toc7388"/>
      <w:bookmarkStart w:id="63" w:name="_Toc22488"/>
      <w:bookmarkStart w:id="64" w:name="_Toc11264"/>
      <w:bookmarkStart w:id="65" w:name="_Toc68963468"/>
      <w:r>
        <w:rPr>
          <w:rFonts w:hint="eastAsia" w:ascii="宋体" w:hAnsi="宋体" w:eastAsia="宋体" w:cs="宋体"/>
          <w:sz w:val="44"/>
          <w:highlight w:val="none"/>
        </w:rPr>
        <w:t>第三章、合同条件、格式</w:t>
      </w:r>
      <w:bookmarkEnd w:id="62"/>
      <w:bookmarkEnd w:id="63"/>
      <w:bookmarkEnd w:id="64"/>
    </w:p>
    <w:p w14:paraId="0EA13375">
      <w:pPr>
        <w:tabs>
          <w:tab w:val="left" w:pos="8040"/>
        </w:tabs>
        <w:autoSpaceDE w:val="0"/>
        <w:autoSpaceDN w:val="0"/>
        <w:adjustRightInd w:val="0"/>
        <w:spacing w:line="360" w:lineRule="auto"/>
        <w:ind w:right="-23" w:firstLine="482" w:firstLineChars="200"/>
        <w:jc w:val="center"/>
        <w:rPr>
          <w:rFonts w:hint="eastAsia" w:ascii="宋体" w:hAnsi="宋体" w:eastAsia="宋体" w:cs="宋体"/>
          <w:b/>
          <w:sz w:val="24"/>
          <w:highlight w:val="none"/>
        </w:rPr>
      </w:pPr>
      <w:r>
        <w:rPr>
          <w:rFonts w:hint="eastAsia" w:ascii="宋体" w:hAnsi="宋体" w:eastAsia="宋体" w:cs="宋体"/>
          <w:b/>
          <w:sz w:val="24"/>
          <w:highlight w:val="none"/>
        </w:rPr>
        <w:t>(此合同格式仅供参考，最终合同内容以甲乙双方协商为准)</w:t>
      </w:r>
    </w:p>
    <w:p w14:paraId="6FC6E9FF">
      <w:pPr>
        <w:tabs>
          <w:tab w:val="left" w:pos="8040"/>
        </w:tabs>
        <w:autoSpaceDE w:val="0"/>
        <w:autoSpaceDN w:val="0"/>
        <w:adjustRightInd w:val="0"/>
        <w:spacing w:line="360" w:lineRule="auto"/>
        <w:ind w:right="-23" w:firstLine="482" w:firstLineChars="200"/>
        <w:jc w:val="center"/>
        <w:rPr>
          <w:rFonts w:hint="eastAsia" w:ascii="宋体" w:hAnsi="宋体" w:eastAsia="宋体" w:cs="宋体"/>
          <w:b/>
          <w:sz w:val="24"/>
          <w:highlight w:val="none"/>
        </w:rPr>
      </w:pPr>
    </w:p>
    <w:p w14:paraId="3174D081">
      <w:pPr>
        <w:pStyle w:val="61"/>
        <w:spacing w:line="360" w:lineRule="auto"/>
        <w:jc w:val="center"/>
        <w:rPr>
          <w:rFonts w:hint="eastAsia" w:ascii="宋体" w:hAnsi="宋体" w:eastAsia="宋体" w:cs="宋体"/>
          <w:b/>
          <w:color w:val="auto"/>
          <w:spacing w:val="16"/>
          <w:sz w:val="21"/>
          <w:szCs w:val="21"/>
          <w:highlight w:val="none"/>
        </w:rPr>
      </w:pPr>
    </w:p>
    <w:p w14:paraId="114398C1">
      <w:pPr>
        <w:pStyle w:val="61"/>
        <w:spacing w:line="360" w:lineRule="auto"/>
        <w:jc w:val="center"/>
        <w:rPr>
          <w:rFonts w:hint="eastAsia" w:ascii="宋体" w:hAnsi="宋体" w:eastAsia="宋体" w:cs="宋体"/>
          <w:b/>
          <w:color w:val="auto"/>
          <w:spacing w:val="16"/>
          <w:sz w:val="21"/>
          <w:szCs w:val="21"/>
          <w:highlight w:val="none"/>
        </w:rPr>
      </w:pPr>
    </w:p>
    <w:p w14:paraId="32ECFC70">
      <w:pPr>
        <w:pStyle w:val="61"/>
        <w:spacing w:line="360" w:lineRule="auto"/>
        <w:jc w:val="center"/>
        <w:rPr>
          <w:rFonts w:hint="eastAsia" w:ascii="宋体" w:hAnsi="宋体" w:eastAsia="宋体" w:cs="宋体"/>
          <w:b/>
          <w:color w:val="auto"/>
          <w:spacing w:val="16"/>
          <w:sz w:val="28"/>
          <w:szCs w:val="28"/>
          <w:highlight w:val="none"/>
        </w:rPr>
      </w:pPr>
    </w:p>
    <w:p w14:paraId="15282DCD">
      <w:pPr>
        <w:pStyle w:val="61"/>
        <w:spacing w:line="360" w:lineRule="auto"/>
        <w:ind w:left="1662" w:hanging="939" w:hangingChars="300"/>
        <w:jc w:val="center"/>
        <w:rPr>
          <w:rFonts w:hint="eastAsia" w:ascii="宋体" w:hAnsi="宋体" w:eastAsia="宋体" w:cs="宋体"/>
          <w:b/>
          <w:bCs w:val="0"/>
          <w:color w:val="auto"/>
          <w:spacing w:val="16"/>
          <w:sz w:val="28"/>
          <w:szCs w:val="28"/>
          <w:highlight w:val="none"/>
        </w:rPr>
      </w:pPr>
      <w:r>
        <w:rPr>
          <w:rFonts w:hint="eastAsia" w:ascii="宋体" w:hAnsi="宋体" w:eastAsia="宋体" w:cs="宋体"/>
          <w:b/>
          <w:bCs w:val="0"/>
          <w:color w:val="auto"/>
          <w:spacing w:val="16"/>
          <w:sz w:val="28"/>
          <w:szCs w:val="28"/>
          <w:highlight w:val="none"/>
        </w:rPr>
        <w:t>中</w:t>
      </w:r>
      <w:r>
        <w:rPr>
          <w:rFonts w:hint="eastAsia" w:ascii="宋体" w:hAnsi="宋体" w:eastAsia="宋体" w:cs="宋体"/>
          <w:b/>
          <w:bCs w:val="0"/>
          <w:color w:val="auto"/>
          <w:spacing w:val="16"/>
          <w:sz w:val="28"/>
          <w:szCs w:val="28"/>
          <w:highlight w:val="none"/>
          <w:lang w:val="en-US" w:eastAsia="zh-CN"/>
        </w:rPr>
        <w:t>国科学院软件研究所</w:t>
      </w:r>
      <w:r>
        <w:rPr>
          <w:rFonts w:hint="eastAsia" w:ascii="宋体" w:hAnsi="宋体" w:eastAsia="宋体" w:cs="宋体"/>
          <w:b/>
          <w:bCs w:val="0"/>
          <w:color w:val="auto"/>
          <w:spacing w:val="16"/>
          <w:sz w:val="28"/>
          <w:szCs w:val="28"/>
          <w:highlight w:val="none"/>
        </w:rPr>
        <w:t>食堂</w:t>
      </w:r>
    </w:p>
    <w:p w14:paraId="3650CB8A">
      <w:pPr>
        <w:pStyle w:val="61"/>
        <w:spacing w:line="360" w:lineRule="auto"/>
        <w:ind w:left="1662" w:hanging="939" w:hangingChars="300"/>
        <w:jc w:val="center"/>
        <w:rPr>
          <w:rFonts w:hint="eastAsia" w:ascii="宋体" w:hAnsi="宋体" w:eastAsia="宋体" w:cs="宋体"/>
          <w:b/>
          <w:bCs w:val="0"/>
          <w:color w:val="auto"/>
          <w:spacing w:val="16"/>
          <w:sz w:val="28"/>
          <w:szCs w:val="28"/>
          <w:highlight w:val="none"/>
        </w:rPr>
      </w:pPr>
      <w:r>
        <w:rPr>
          <w:rFonts w:hint="eastAsia" w:ascii="宋体" w:hAnsi="宋体" w:eastAsia="宋体" w:cs="宋体"/>
          <w:b/>
          <w:bCs w:val="0"/>
          <w:color w:val="auto"/>
          <w:spacing w:val="16"/>
          <w:sz w:val="28"/>
          <w:szCs w:val="28"/>
          <w:highlight w:val="none"/>
        </w:rPr>
        <w:t>餐饮服务经营合同书</w:t>
      </w:r>
    </w:p>
    <w:p w14:paraId="6BCAB5AA">
      <w:pPr>
        <w:pStyle w:val="61"/>
        <w:spacing w:line="360" w:lineRule="auto"/>
        <w:jc w:val="center"/>
        <w:rPr>
          <w:rFonts w:hint="eastAsia" w:ascii="宋体" w:hAnsi="宋体" w:eastAsia="宋体" w:cs="宋体"/>
          <w:color w:val="auto"/>
          <w:spacing w:val="16"/>
          <w:sz w:val="28"/>
          <w:szCs w:val="28"/>
          <w:highlight w:val="none"/>
        </w:rPr>
      </w:pPr>
    </w:p>
    <w:p w14:paraId="0A81C82C">
      <w:pPr>
        <w:ind w:firstLine="632" w:firstLineChars="300"/>
        <w:rPr>
          <w:rFonts w:hint="eastAsia" w:ascii="宋体" w:hAnsi="宋体" w:eastAsia="宋体" w:cs="宋体"/>
          <w:b/>
          <w:bCs/>
          <w:sz w:val="21"/>
          <w:szCs w:val="21"/>
          <w:highlight w:val="none"/>
        </w:rPr>
      </w:pPr>
    </w:p>
    <w:p w14:paraId="387B21CF">
      <w:pPr>
        <w:ind w:firstLine="632" w:firstLineChars="3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甲方：</w:t>
      </w:r>
      <w:r>
        <w:rPr>
          <w:rFonts w:hint="eastAsia" w:ascii="宋体" w:hAnsi="宋体" w:eastAsia="宋体" w:cs="宋体"/>
          <w:b/>
          <w:bCs/>
          <w:sz w:val="21"/>
          <w:szCs w:val="21"/>
          <w:highlight w:val="none"/>
          <w:lang w:val="en-US" w:eastAsia="zh-CN"/>
        </w:rPr>
        <w:t xml:space="preserve"> 中国科学院软件研究所</w:t>
      </w:r>
    </w:p>
    <w:p w14:paraId="26E778AA">
      <w:pPr>
        <w:ind w:firstLine="632" w:firstLineChars="3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乙方：</w:t>
      </w:r>
    </w:p>
    <w:p w14:paraId="64A1A2D3">
      <w:pPr>
        <w:ind w:firstLine="632" w:firstLineChars="3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合同签订日期：</w:t>
      </w:r>
      <w:r>
        <w:rPr>
          <w:rFonts w:hint="eastAsia" w:ascii="宋体" w:hAnsi="宋体" w:eastAsia="宋体" w:cs="宋体"/>
          <w:b/>
          <w:bCs/>
          <w:sz w:val="21"/>
          <w:szCs w:val="21"/>
          <w:highlight w:val="none"/>
          <w:lang w:val="en-US" w:eastAsia="zh-CN"/>
        </w:rPr>
        <w:t xml:space="preserve">   </w:t>
      </w:r>
      <w:r>
        <w:rPr>
          <w:rFonts w:hint="eastAsia" w:ascii="宋体" w:hAnsi="宋体" w:eastAsia="宋体" w:cs="宋体"/>
          <w:b/>
          <w:bCs/>
          <w:sz w:val="21"/>
          <w:szCs w:val="21"/>
          <w:highlight w:val="none"/>
        </w:rPr>
        <w:t>年</w:t>
      </w:r>
      <w:r>
        <w:rPr>
          <w:rFonts w:hint="eastAsia" w:ascii="宋体" w:hAnsi="宋体" w:eastAsia="宋体" w:cs="宋体"/>
          <w:b/>
          <w:bCs/>
          <w:sz w:val="21"/>
          <w:szCs w:val="21"/>
          <w:highlight w:val="none"/>
          <w:lang w:val="en-US" w:eastAsia="zh-CN"/>
        </w:rPr>
        <w:t xml:space="preserve">   </w:t>
      </w:r>
      <w:r>
        <w:rPr>
          <w:rFonts w:hint="eastAsia" w:ascii="宋体" w:hAnsi="宋体" w:eastAsia="宋体" w:cs="宋体"/>
          <w:b/>
          <w:bCs/>
          <w:sz w:val="21"/>
          <w:szCs w:val="21"/>
          <w:highlight w:val="none"/>
        </w:rPr>
        <w:t>月</w:t>
      </w:r>
      <w:r>
        <w:rPr>
          <w:rFonts w:hint="eastAsia" w:ascii="宋体" w:hAnsi="宋体" w:eastAsia="宋体" w:cs="宋体"/>
          <w:b/>
          <w:bCs/>
          <w:sz w:val="21"/>
          <w:szCs w:val="21"/>
          <w:highlight w:val="none"/>
          <w:lang w:val="en-US" w:eastAsia="zh-CN"/>
        </w:rPr>
        <w:t xml:space="preserve">   </w:t>
      </w:r>
      <w:r>
        <w:rPr>
          <w:rFonts w:hint="eastAsia" w:ascii="宋体" w:hAnsi="宋体" w:eastAsia="宋体" w:cs="宋体"/>
          <w:b/>
          <w:bCs/>
          <w:sz w:val="21"/>
          <w:szCs w:val="21"/>
          <w:highlight w:val="none"/>
        </w:rPr>
        <w:t>日</w:t>
      </w:r>
    </w:p>
    <w:p w14:paraId="022D1442">
      <w:pPr>
        <w:pStyle w:val="61"/>
        <w:spacing w:line="720" w:lineRule="auto"/>
        <w:ind w:left="2310" w:leftChars="1100"/>
        <w:rPr>
          <w:rFonts w:hint="eastAsia" w:ascii="宋体" w:hAnsi="宋体" w:eastAsia="宋体" w:cs="宋体"/>
          <w:b/>
          <w:color w:val="auto"/>
          <w:spacing w:val="16"/>
          <w:sz w:val="21"/>
          <w:szCs w:val="21"/>
          <w:highlight w:val="none"/>
        </w:rPr>
      </w:pPr>
    </w:p>
    <w:p w14:paraId="786E3EC0">
      <w:pPr>
        <w:pStyle w:val="61"/>
        <w:spacing w:line="720" w:lineRule="auto"/>
        <w:ind w:left="2310" w:leftChars="1100"/>
        <w:rPr>
          <w:rFonts w:hint="eastAsia" w:ascii="宋体" w:hAnsi="宋体" w:eastAsia="宋体" w:cs="宋体"/>
          <w:b/>
          <w:color w:val="auto"/>
          <w:spacing w:val="16"/>
          <w:sz w:val="21"/>
          <w:szCs w:val="21"/>
          <w:highlight w:val="none"/>
        </w:rPr>
      </w:pPr>
    </w:p>
    <w:p w14:paraId="490C6D17">
      <w:pPr>
        <w:pStyle w:val="61"/>
        <w:spacing w:line="720" w:lineRule="auto"/>
        <w:ind w:left="2310" w:leftChars="1100"/>
        <w:rPr>
          <w:rFonts w:hint="eastAsia" w:ascii="宋体" w:hAnsi="宋体" w:eastAsia="宋体" w:cs="宋体"/>
          <w:b/>
          <w:color w:val="auto"/>
          <w:spacing w:val="16"/>
          <w:sz w:val="21"/>
          <w:szCs w:val="21"/>
          <w:highlight w:val="none"/>
        </w:rPr>
      </w:pPr>
    </w:p>
    <w:p w14:paraId="04ECEF14">
      <w:pPr>
        <w:rPr>
          <w:rFonts w:hint="eastAsia" w:ascii="宋体" w:hAnsi="宋体" w:eastAsia="宋体" w:cs="宋体"/>
          <w:b/>
          <w:color w:val="auto"/>
          <w:spacing w:val="16"/>
          <w:sz w:val="21"/>
          <w:szCs w:val="21"/>
          <w:highlight w:val="none"/>
        </w:rPr>
      </w:pPr>
      <w:r>
        <w:rPr>
          <w:rFonts w:hint="eastAsia" w:ascii="宋体" w:hAnsi="宋体" w:eastAsia="宋体" w:cs="宋体"/>
          <w:b/>
          <w:color w:val="auto"/>
          <w:spacing w:val="16"/>
          <w:sz w:val="21"/>
          <w:szCs w:val="21"/>
          <w:highlight w:val="none"/>
        </w:rPr>
        <w:br w:type="page"/>
      </w:r>
    </w:p>
    <w:p w14:paraId="7D6B7364">
      <w:pPr>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甲方：中国科学院软件研究所</w:t>
      </w:r>
    </w:p>
    <w:p w14:paraId="618C3B74">
      <w:pPr>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法定代表人：</w:t>
      </w:r>
    </w:p>
    <w:p w14:paraId="5A3FED47">
      <w:pPr>
        <w:spacing w:line="360" w:lineRule="exac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联系人：</w:t>
      </w:r>
    </w:p>
    <w:p w14:paraId="1F10C654">
      <w:pPr>
        <w:spacing w:line="360" w:lineRule="exac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地址：北京市海淀区中关村南四街4号</w:t>
      </w:r>
    </w:p>
    <w:p w14:paraId="727F1E99">
      <w:pPr>
        <w:spacing w:line="360" w:lineRule="exac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联系方式：</w:t>
      </w:r>
    </w:p>
    <w:p w14:paraId="1B75AC5D">
      <w:pPr>
        <w:spacing w:line="360" w:lineRule="exact"/>
        <w:rPr>
          <w:rFonts w:hint="eastAsia" w:ascii="宋体" w:hAnsi="宋体" w:eastAsia="宋体" w:cs="宋体"/>
          <w:b/>
          <w:color w:val="auto"/>
          <w:sz w:val="21"/>
          <w:szCs w:val="21"/>
          <w:highlight w:val="none"/>
        </w:rPr>
      </w:pPr>
    </w:p>
    <w:p w14:paraId="75B5CF0E">
      <w:pPr>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乙方：</w:t>
      </w:r>
    </w:p>
    <w:p w14:paraId="70070FA1">
      <w:pPr>
        <w:spacing w:line="360" w:lineRule="exac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法定代表人：</w:t>
      </w:r>
    </w:p>
    <w:p w14:paraId="7297ADA3">
      <w:pPr>
        <w:spacing w:line="360" w:lineRule="exac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联系人： </w:t>
      </w:r>
    </w:p>
    <w:p w14:paraId="3E726D50">
      <w:pPr>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地址： </w:t>
      </w:r>
    </w:p>
    <w:p w14:paraId="58A08F87">
      <w:pPr>
        <w:spacing w:line="360" w:lineRule="exac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联系方式：</w:t>
      </w:r>
    </w:p>
    <w:p w14:paraId="16E57638">
      <w:pPr>
        <w:spacing w:line="35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p w14:paraId="15177C83">
      <w:pPr>
        <w:spacing w:line="350" w:lineRule="exact"/>
        <w:ind w:firstLine="420" w:firstLineChars="200"/>
        <w:rPr>
          <w:rFonts w:hint="eastAsia" w:ascii="宋体" w:hAnsi="宋体" w:eastAsia="宋体" w:cs="宋体"/>
          <w:color w:val="auto"/>
          <w:sz w:val="21"/>
          <w:szCs w:val="21"/>
          <w:highlight w:val="none"/>
          <w:lang w:val="en-US" w:eastAsia="zh-CN"/>
        </w:rPr>
      </w:pPr>
    </w:p>
    <w:p w14:paraId="340B7D29">
      <w:pPr>
        <w:spacing w:line="350" w:lineRule="exact"/>
        <w:ind w:firstLine="420" w:firstLineChars="200"/>
        <w:rPr>
          <w:rFonts w:hint="eastAsia" w:ascii="宋体" w:hAnsi="宋体" w:eastAsia="宋体" w:cs="宋体"/>
          <w:color w:val="auto"/>
          <w:sz w:val="21"/>
          <w:szCs w:val="21"/>
          <w:highlight w:val="none"/>
          <w:lang w:val="en-US" w:eastAsia="zh-CN"/>
        </w:rPr>
      </w:pPr>
    </w:p>
    <w:p w14:paraId="17EFD4E6">
      <w:pPr>
        <w:spacing w:line="35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经甲乙双方（甲方与乙方合称为“双方”）充分协商达成一致，根据《中华人民共和国民法典》，以及国家有关食品安全法律、法规的有关规定，秉承公平、自愿、诚信的合作原则，订立本餐饮服务合同（以下简称“本合同”），承诺共同遵守。</w:t>
      </w:r>
    </w:p>
    <w:p w14:paraId="1D582361">
      <w:pPr>
        <w:spacing w:line="35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在本合同有限期内，依据本合同制定的有关附件、合作方案及服务承诺，是本合同的有效组成部分，与本合同具有相同的法律效力。</w:t>
      </w:r>
    </w:p>
    <w:p w14:paraId="0B54D4DD">
      <w:pPr>
        <w:pStyle w:val="66"/>
        <w:shd w:val="clear" w:color="auto" w:fill="FFFFFF"/>
        <w:spacing w:before="240" w:beforeAutospacing="0" w:after="120" w:afterAutospacing="0" w:line="350" w:lineRule="exact"/>
        <w:ind w:firstLine="422" w:firstLineChars="200"/>
        <w:outlineLvl w:val="0"/>
        <w:rPr>
          <w:rFonts w:hint="eastAsia" w:ascii="宋体" w:hAnsi="宋体" w:eastAsia="宋体" w:cs="宋体"/>
          <w:b/>
          <w:color w:val="auto"/>
          <w:sz w:val="21"/>
          <w:szCs w:val="21"/>
          <w:highlight w:val="none"/>
        </w:rPr>
      </w:pPr>
      <w:bookmarkStart w:id="66" w:name="_Toc428694196"/>
      <w:bookmarkStart w:id="67" w:name="_Toc492818966"/>
      <w:r>
        <w:rPr>
          <w:rFonts w:hint="eastAsia" w:ascii="宋体" w:hAnsi="宋体" w:eastAsia="宋体" w:cs="宋体"/>
          <w:b/>
          <w:color w:val="auto"/>
          <w:sz w:val="21"/>
          <w:szCs w:val="21"/>
          <w:highlight w:val="none"/>
        </w:rPr>
        <w:t>第一条  服务地点/面积</w:t>
      </w:r>
      <w:bookmarkEnd w:id="66"/>
      <w:bookmarkEnd w:id="67"/>
    </w:p>
    <w:p w14:paraId="09CF11D8">
      <w:pPr>
        <w:autoSpaceDE w:val="0"/>
        <w:autoSpaceDN w:val="0"/>
        <w:adjustRightInd w:val="0"/>
        <w:snapToGrid w:val="0"/>
        <w:spacing w:before="120" w:line="350" w:lineRule="exact"/>
        <w:ind w:firstLine="420" w:firstLineChars="200"/>
        <w:rPr>
          <w:rFonts w:hint="eastAsia" w:ascii="宋体" w:hAnsi="宋体" w:eastAsia="宋体" w:cs="宋体"/>
          <w:bCs/>
          <w:strike w:val="0"/>
          <w:dstrike w:val="0"/>
          <w:color w:val="auto"/>
          <w:sz w:val="21"/>
          <w:szCs w:val="21"/>
          <w:highlight w:val="none"/>
          <w:lang w:val="en-US" w:eastAsia="zh-CN"/>
        </w:rPr>
      </w:pPr>
      <w:r>
        <w:rPr>
          <w:rFonts w:hint="eastAsia" w:ascii="宋体" w:hAnsi="宋体" w:eastAsia="宋体" w:cs="宋体"/>
          <w:bCs/>
          <w:color w:val="auto"/>
          <w:sz w:val="21"/>
          <w:szCs w:val="21"/>
          <w:highlight w:val="none"/>
        </w:rPr>
        <w:t>服务地点：</w:t>
      </w:r>
      <w:r>
        <w:rPr>
          <w:rFonts w:hint="eastAsia" w:ascii="宋体" w:hAnsi="宋体" w:eastAsia="宋体" w:cs="宋体"/>
          <w:bCs/>
          <w:color w:val="auto"/>
          <w:sz w:val="21"/>
          <w:szCs w:val="21"/>
          <w:highlight w:val="none"/>
          <w:lang w:val="en-US" w:eastAsia="zh-CN"/>
        </w:rPr>
        <w:t>北京市海淀区中关村南四街4号</w:t>
      </w:r>
      <w:r>
        <w:rPr>
          <w:rFonts w:hint="eastAsia" w:ascii="宋体" w:hAnsi="宋体" w:eastAsia="宋体" w:cs="宋体"/>
          <w:bCs/>
          <w:strike w:val="0"/>
          <w:dstrike w:val="0"/>
          <w:color w:val="auto"/>
          <w:sz w:val="21"/>
          <w:szCs w:val="21"/>
          <w:highlight w:val="none"/>
          <w:lang w:val="en-US" w:eastAsia="zh-CN"/>
        </w:rPr>
        <w:t>7号楼地下二层至地上二层</w:t>
      </w:r>
    </w:p>
    <w:p w14:paraId="103FDA66">
      <w:pPr>
        <w:autoSpaceDE w:val="0"/>
        <w:autoSpaceDN w:val="0"/>
        <w:adjustRightInd w:val="0"/>
        <w:snapToGrid w:val="0"/>
        <w:spacing w:before="120" w:line="35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服务场地建筑面积：</w:t>
      </w:r>
      <w:r>
        <w:rPr>
          <w:rFonts w:hint="eastAsia" w:ascii="宋体" w:hAnsi="宋体" w:eastAsia="宋体" w:cs="宋体"/>
          <w:bCs/>
          <w:color w:val="auto"/>
          <w:sz w:val="21"/>
          <w:szCs w:val="21"/>
          <w:highlight w:val="none"/>
          <w:u w:val="single"/>
          <w:lang w:val="en-US" w:eastAsia="zh-CN"/>
        </w:rPr>
        <w:t>4190</w:t>
      </w:r>
      <w:r>
        <w:rPr>
          <w:rFonts w:hint="eastAsia" w:ascii="宋体" w:hAnsi="宋体" w:eastAsia="宋体" w:cs="宋体"/>
          <w:bCs/>
          <w:color w:val="auto"/>
          <w:sz w:val="21"/>
          <w:szCs w:val="21"/>
          <w:highlight w:val="none"/>
          <w:lang w:val="en-US" w:eastAsia="zh-CN"/>
        </w:rPr>
        <w:t>方米</w:t>
      </w:r>
    </w:p>
    <w:p w14:paraId="4F703583">
      <w:pPr>
        <w:pStyle w:val="66"/>
        <w:shd w:val="clear" w:color="auto" w:fill="FFFFFF"/>
        <w:spacing w:before="240" w:beforeAutospacing="0" w:after="120" w:afterAutospacing="0" w:line="350" w:lineRule="exact"/>
        <w:ind w:firstLine="422" w:firstLineChars="200"/>
        <w:outlineLvl w:val="0"/>
        <w:rPr>
          <w:rFonts w:hint="eastAsia" w:ascii="宋体" w:hAnsi="宋体" w:eastAsia="宋体" w:cs="宋体"/>
          <w:b/>
          <w:color w:val="auto"/>
          <w:sz w:val="21"/>
          <w:szCs w:val="21"/>
          <w:highlight w:val="none"/>
        </w:rPr>
      </w:pPr>
      <w:bookmarkStart w:id="68" w:name="_Toc428694197"/>
      <w:bookmarkStart w:id="69" w:name="_Toc492818967"/>
      <w:r>
        <w:rPr>
          <w:rFonts w:hint="eastAsia" w:ascii="宋体" w:hAnsi="宋体" w:eastAsia="宋体" w:cs="宋体"/>
          <w:b/>
          <w:color w:val="auto"/>
          <w:sz w:val="21"/>
          <w:szCs w:val="21"/>
          <w:highlight w:val="none"/>
        </w:rPr>
        <w:t>第二条  合作条件</w:t>
      </w:r>
      <w:bookmarkEnd w:id="68"/>
      <w:bookmarkEnd w:id="69"/>
    </w:p>
    <w:p w14:paraId="1EB3DF94">
      <w:pPr>
        <w:autoSpaceDE w:val="0"/>
        <w:autoSpaceDN w:val="0"/>
        <w:adjustRightInd w:val="0"/>
        <w:snapToGrid w:val="0"/>
        <w:spacing w:before="120" w:line="35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1.甲方负责提供厨房、餐厅、灶具、厨杂、餐座椅等基本供餐设备设施。</w:t>
      </w:r>
    </w:p>
    <w:p w14:paraId="09BDD5C2">
      <w:pPr>
        <w:autoSpaceDE w:val="0"/>
        <w:autoSpaceDN w:val="0"/>
        <w:adjustRightInd w:val="0"/>
        <w:snapToGrid w:val="0"/>
        <w:spacing w:before="120" w:line="35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2.乙方向甲方派驻服务人员，负责提供人员、食品制作、餐厅服务辖区卫生保洁、设备、餐具、厨杂、食品、物资的使用、设备维护管理服务。</w:t>
      </w:r>
    </w:p>
    <w:p w14:paraId="15AD47CB">
      <w:pPr>
        <w:autoSpaceDE w:val="0"/>
        <w:autoSpaceDN w:val="0"/>
        <w:adjustRightInd w:val="0"/>
        <w:snapToGrid w:val="0"/>
        <w:spacing w:before="120" w:line="35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3.双方约定：</w:t>
      </w:r>
    </w:p>
    <w:p w14:paraId="68BBAF84">
      <w:pPr>
        <w:autoSpaceDE w:val="0"/>
        <w:autoSpaceDN w:val="0"/>
        <w:adjustRightInd w:val="0"/>
        <w:snapToGrid w:val="0"/>
        <w:spacing w:before="120" w:line="35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甲方为乙方提供办公场所和男、女宿舍。</w:t>
      </w:r>
    </w:p>
    <w:p w14:paraId="26518986">
      <w:pPr>
        <w:autoSpaceDE w:val="0"/>
        <w:autoSpaceDN w:val="0"/>
        <w:adjustRightInd w:val="0"/>
        <w:snapToGrid w:val="0"/>
        <w:spacing w:before="120" w:line="35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软件所食堂原设备维修，3000元（含）以内的小额支出由乙方支付，3000元以上由甲方承担；出现其他方面的维修，第一时间上报物业进行维修，如遇问题，再进行上报处理。</w:t>
      </w:r>
    </w:p>
    <w:p w14:paraId="2BEF8C13">
      <w:pPr>
        <w:autoSpaceDE w:val="0"/>
        <w:autoSpaceDN w:val="0"/>
        <w:adjustRightInd w:val="0"/>
        <w:snapToGrid w:val="0"/>
        <w:spacing w:before="120" w:line="35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所有厨房设备（软件所资产）更换费用由软件所承担。</w:t>
      </w:r>
    </w:p>
    <w:p w14:paraId="2BAD43E5">
      <w:pPr>
        <w:autoSpaceDE w:val="0"/>
        <w:autoSpaceDN w:val="0"/>
        <w:adjustRightInd w:val="0"/>
        <w:snapToGrid w:val="0"/>
        <w:spacing w:before="120" w:line="35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使用能源费用，水费、燃气费全由乙方自行承担；总电费用的60%由甲方承提，40%由乙方自行承担。</w:t>
      </w:r>
    </w:p>
    <w:p w14:paraId="21E89706">
      <w:pPr>
        <w:autoSpaceDE w:val="0"/>
        <w:autoSpaceDN w:val="0"/>
        <w:adjustRightInd w:val="0"/>
        <w:snapToGrid w:val="0"/>
        <w:spacing w:before="120" w:line="35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食堂内发生的烟道清洗、</w:t>
      </w:r>
      <w:r>
        <w:rPr>
          <w:rFonts w:hint="eastAsia" w:ascii="宋体" w:hAnsi="宋体" w:eastAsia="宋体" w:cs="宋体"/>
          <w:color w:val="auto"/>
          <w:sz w:val="21"/>
          <w:szCs w:val="21"/>
          <w:highlight w:val="none"/>
          <w:lang w:val="en-US" w:eastAsia="zh-CN"/>
        </w:rPr>
        <w:t>各项虫控</w:t>
      </w:r>
      <w:r>
        <w:rPr>
          <w:rFonts w:hint="eastAsia" w:ascii="宋体" w:hAnsi="宋体" w:eastAsia="宋体" w:cs="宋体"/>
          <w:color w:val="auto"/>
          <w:sz w:val="21"/>
          <w:szCs w:val="21"/>
          <w:highlight w:val="none"/>
        </w:rPr>
        <w:t>、厨余垃圾消纳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隔油池清理，低值易耗用品、厨房用具、清洁用品</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支出全部</w:t>
      </w:r>
      <w:r>
        <w:rPr>
          <w:rFonts w:hint="eastAsia" w:ascii="宋体" w:hAnsi="宋体" w:eastAsia="宋体" w:cs="宋体"/>
          <w:color w:val="auto"/>
          <w:sz w:val="21"/>
          <w:szCs w:val="21"/>
          <w:highlight w:val="none"/>
        </w:rPr>
        <w:t>由乙方</w:t>
      </w:r>
      <w:r>
        <w:rPr>
          <w:rFonts w:hint="eastAsia" w:ascii="宋体" w:hAnsi="宋体" w:eastAsia="宋体" w:cs="宋体"/>
          <w:color w:val="auto"/>
          <w:sz w:val="21"/>
          <w:szCs w:val="21"/>
          <w:highlight w:val="none"/>
          <w:lang w:val="en-US" w:eastAsia="zh-CN"/>
        </w:rPr>
        <w:t>自行</w:t>
      </w:r>
      <w:r>
        <w:rPr>
          <w:rFonts w:hint="eastAsia" w:ascii="宋体" w:hAnsi="宋体" w:eastAsia="宋体" w:cs="宋体"/>
          <w:color w:val="auto"/>
          <w:sz w:val="21"/>
          <w:szCs w:val="21"/>
          <w:highlight w:val="none"/>
        </w:rPr>
        <w:t>承担。</w:t>
      </w:r>
    </w:p>
    <w:p w14:paraId="7D9713AC">
      <w:pPr>
        <w:tabs>
          <w:tab w:val="left" w:pos="945"/>
        </w:tabs>
        <w:spacing w:before="120" w:line="35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4.</w:t>
      </w:r>
      <w:r>
        <w:rPr>
          <w:rFonts w:hint="eastAsia" w:ascii="宋体" w:hAnsi="宋体" w:eastAsia="宋体" w:cs="宋体"/>
          <w:color w:val="auto"/>
          <w:sz w:val="21"/>
          <w:szCs w:val="21"/>
          <w:highlight w:val="none"/>
          <w:lang w:val="en-US" w:eastAsia="zh-CN"/>
        </w:rPr>
        <w:t>乙方负责在合同期内为软件所食堂投保不低于壹仟万人民币的公众责任保险。</w:t>
      </w:r>
    </w:p>
    <w:p w14:paraId="52B978C5">
      <w:pPr>
        <w:autoSpaceDE w:val="0"/>
        <w:autoSpaceDN w:val="0"/>
        <w:adjustRightInd w:val="0"/>
        <w:snapToGrid w:val="0"/>
        <w:spacing w:before="120" w:line="35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5.乙方承担其派驻人员工资和其他劳务费用。</w:t>
      </w:r>
    </w:p>
    <w:p w14:paraId="03DE4CCC">
      <w:pPr>
        <w:autoSpaceDE w:val="0"/>
        <w:autoSpaceDN w:val="0"/>
        <w:adjustRightInd w:val="0"/>
        <w:snapToGrid w:val="0"/>
        <w:spacing w:before="120" w:line="35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6.本合同内任何服务项目费用有变化时，应当由甲乙双方协商并签署补充</w:t>
      </w:r>
      <w:r>
        <w:rPr>
          <w:rFonts w:hint="eastAsia" w:ascii="宋体" w:hAnsi="宋体" w:eastAsia="宋体" w:cs="宋体"/>
          <w:bCs/>
          <w:color w:val="auto"/>
          <w:sz w:val="21"/>
          <w:szCs w:val="21"/>
          <w:highlight w:val="none"/>
          <w:lang w:val="en-US" w:eastAsia="zh-CN"/>
        </w:rPr>
        <w:t>书</w:t>
      </w:r>
      <w:r>
        <w:rPr>
          <w:rFonts w:hint="eastAsia" w:ascii="宋体" w:hAnsi="宋体" w:eastAsia="宋体" w:cs="宋体"/>
          <w:bCs/>
          <w:color w:val="auto"/>
          <w:sz w:val="21"/>
          <w:szCs w:val="21"/>
          <w:highlight w:val="none"/>
        </w:rPr>
        <w:t>面文件确认方可生效。</w:t>
      </w:r>
      <w:bookmarkStart w:id="70" w:name="_Toc428694198"/>
      <w:bookmarkStart w:id="71" w:name="_Toc492818968"/>
      <w:r>
        <w:rPr>
          <w:rFonts w:hint="eastAsia" w:ascii="宋体" w:hAnsi="宋体" w:eastAsia="宋体" w:cs="宋体"/>
          <w:b/>
          <w:color w:val="auto"/>
          <w:sz w:val="21"/>
          <w:szCs w:val="21"/>
          <w:highlight w:val="none"/>
        </w:rPr>
        <w:t>第三条  服务内容及服务标准</w:t>
      </w:r>
      <w:bookmarkEnd w:id="70"/>
      <w:bookmarkEnd w:id="71"/>
    </w:p>
    <w:p w14:paraId="32EC2862">
      <w:pPr>
        <w:spacing w:before="120" w:line="35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1.服务内容</w:t>
      </w:r>
    </w:p>
    <w:p w14:paraId="57DD495D">
      <w:pPr>
        <w:spacing w:before="120" w:line="35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按照甲方要求为甲方全部工作人员提供餐饮服务。其工作内容为早餐、中餐、晚餐和招待餐的餐饮服务。甲方餐厅采取刷卡消费形式，会议餐、包间桌餐的结账方式双方另行约定。其他餐饮服务例如节日餐、庆祝餐等按照甲方需求执行。</w:t>
      </w:r>
    </w:p>
    <w:p w14:paraId="0C9DEAF5">
      <w:pPr>
        <w:spacing w:before="120" w:line="35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2.服务标准</w:t>
      </w:r>
    </w:p>
    <w:p w14:paraId="6C672AF1">
      <w:pPr>
        <w:spacing w:before="120" w:line="35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乙方应确保按照投标文件中承诺的工作流程、操作流程和管理流程向甲方提供服务。本合同正文及附件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均为服务标准条款的有效组成部分。如上述文件内容之间存在冲突的，甲方有权决定选择适用其中合理的标准。上述文件对服务标准约定不明确的，按照商务部发布的《团餐管理服务规范》（SB/T 10856-2012）及其列明的规范性引用文件履行。</w:t>
      </w:r>
    </w:p>
    <w:p w14:paraId="2262D621">
      <w:pPr>
        <w:spacing w:before="120" w:line="35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在国家公布的食品价格</w:t>
      </w:r>
      <w:r>
        <w:rPr>
          <w:rFonts w:hint="eastAsia" w:ascii="宋体" w:hAnsi="宋体" w:eastAsia="宋体" w:cs="宋体"/>
          <w:bCs/>
          <w:color w:val="auto"/>
          <w:sz w:val="21"/>
          <w:szCs w:val="21"/>
          <w:highlight w:val="none"/>
          <w:lang w:val="en-US" w:eastAsia="zh-CN"/>
        </w:rPr>
        <w:t>上涨</w:t>
      </w:r>
      <w:r>
        <w:rPr>
          <w:rFonts w:hint="eastAsia" w:ascii="宋体" w:hAnsi="宋体" w:eastAsia="宋体" w:cs="宋体"/>
          <w:bCs/>
          <w:color w:val="auto"/>
          <w:sz w:val="21"/>
          <w:szCs w:val="21"/>
          <w:highlight w:val="none"/>
        </w:rPr>
        <w:t>，乙方须经甲方书面同意后方可调整餐费</w:t>
      </w:r>
      <w:r>
        <w:rPr>
          <w:rFonts w:hint="eastAsia" w:ascii="宋体" w:hAnsi="宋体" w:eastAsia="宋体" w:cs="宋体"/>
          <w:bCs/>
          <w:color w:val="auto"/>
          <w:sz w:val="21"/>
          <w:szCs w:val="21"/>
          <w:highlight w:val="none"/>
          <w:lang w:val="en-US" w:eastAsia="zh-CN"/>
        </w:rPr>
        <w:t>或是餐品</w:t>
      </w:r>
      <w:r>
        <w:rPr>
          <w:rFonts w:hint="eastAsia" w:ascii="宋体" w:hAnsi="宋体" w:eastAsia="宋体" w:cs="宋体"/>
          <w:bCs/>
          <w:color w:val="auto"/>
          <w:sz w:val="21"/>
          <w:szCs w:val="21"/>
          <w:highlight w:val="none"/>
        </w:rPr>
        <w:t>标准。</w:t>
      </w:r>
    </w:p>
    <w:p w14:paraId="789EF65F">
      <w:pPr>
        <w:spacing w:before="120" w:line="350" w:lineRule="exact"/>
        <w:ind w:firstLine="422" w:firstLineChars="200"/>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3.食谱标准</w:t>
      </w:r>
    </w:p>
    <w:p w14:paraId="1742E489">
      <w:pPr>
        <w:spacing w:before="120" w:line="35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科学制</w:t>
      </w:r>
      <w:r>
        <w:rPr>
          <w:rFonts w:hint="eastAsia" w:ascii="宋体" w:hAnsi="宋体" w:eastAsia="宋体" w:cs="宋体"/>
          <w:bCs/>
          <w:color w:val="auto"/>
          <w:sz w:val="21"/>
          <w:szCs w:val="21"/>
          <w:highlight w:val="none"/>
          <w:lang w:val="en-US" w:eastAsia="zh-CN"/>
        </w:rPr>
        <w:t>定</w:t>
      </w:r>
      <w:r>
        <w:rPr>
          <w:rFonts w:hint="eastAsia" w:ascii="宋体" w:hAnsi="宋体" w:eastAsia="宋体" w:cs="宋体"/>
          <w:bCs/>
          <w:color w:val="auto"/>
          <w:sz w:val="21"/>
          <w:szCs w:val="21"/>
          <w:highlight w:val="none"/>
        </w:rPr>
        <w:t>食谱，每周四公布下一周食谱，保障每周更换菜谱、荤素搭配、营养均衡、足量供给。</w:t>
      </w:r>
    </w:p>
    <w:p w14:paraId="0F88F68D">
      <w:pPr>
        <w:spacing w:before="120" w:line="35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（1）早餐：</w:t>
      </w:r>
      <w:r>
        <w:rPr>
          <w:rFonts w:hint="eastAsia" w:ascii="宋体" w:hAnsi="宋体" w:eastAsia="宋体" w:cs="宋体"/>
          <w:bCs/>
          <w:color w:val="auto"/>
          <w:sz w:val="21"/>
          <w:szCs w:val="21"/>
          <w:highlight w:val="none"/>
          <w:lang w:val="en-US" w:eastAsia="zh-CN"/>
        </w:rPr>
        <w:t>总品种</w:t>
      </w:r>
      <w:r>
        <w:rPr>
          <w:rFonts w:hint="eastAsia" w:ascii="宋体" w:hAnsi="宋体" w:eastAsia="宋体" w:cs="宋体"/>
          <w:bCs/>
          <w:color w:val="auto"/>
          <w:sz w:val="21"/>
          <w:szCs w:val="21"/>
          <w:highlight w:val="none"/>
        </w:rPr>
        <w:t>不低于</w:t>
      </w:r>
      <w:r>
        <w:rPr>
          <w:rFonts w:hint="eastAsia" w:ascii="宋体" w:hAnsi="宋体" w:eastAsia="宋体" w:cs="宋体"/>
          <w:bCs/>
          <w:color w:val="auto"/>
          <w:sz w:val="21"/>
          <w:szCs w:val="21"/>
          <w:highlight w:val="none"/>
          <w:lang w:val="en-US" w:eastAsia="zh-CN"/>
        </w:rPr>
        <w:t>50</w:t>
      </w:r>
      <w:r>
        <w:rPr>
          <w:rFonts w:hint="eastAsia" w:ascii="宋体" w:hAnsi="宋体" w:eastAsia="宋体" w:cs="宋体"/>
          <w:bCs/>
          <w:color w:val="auto"/>
          <w:sz w:val="21"/>
          <w:szCs w:val="21"/>
          <w:highlight w:val="none"/>
        </w:rPr>
        <w:t>个品种，每天不少于</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个小菜，2-4个汤粥类，</w:t>
      </w:r>
      <w:r>
        <w:rPr>
          <w:rFonts w:hint="eastAsia" w:ascii="宋体" w:hAnsi="宋体" w:eastAsia="宋体" w:cs="宋体"/>
          <w:bCs/>
          <w:color w:val="auto"/>
          <w:sz w:val="21"/>
          <w:szCs w:val="21"/>
          <w:highlight w:val="none"/>
          <w:lang w:val="en-US" w:eastAsia="zh-CN"/>
        </w:rPr>
        <w:t>20</w:t>
      </w:r>
      <w:r>
        <w:rPr>
          <w:rFonts w:hint="eastAsia" w:ascii="宋体" w:hAnsi="宋体" w:eastAsia="宋体" w:cs="宋体"/>
          <w:bCs/>
          <w:color w:val="auto"/>
          <w:sz w:val="21"/>
          <w:szCs w:val="21"/>
          <w:highlight w:val="none"/>
        </w:rPr>
        <w:t>种主食，</w:t>
      </w:r>
      <w:r>
        <w:rPr>
          <w:rFonts w:hint="eastAsia" w:ascii="宋体" w:hAnsi="宋体" w:eastAsia="宋体" w:cs="宋体"/>
          <w:bCs/>
          <w:color w:val="auto"/>
          <w:sz w:val="21"/>
          <w:szCs w:val="21"/>
          <w:highlight w:val="none"/>
          <w:lang w:val="en-US" w:eastAsia="zh-CN"/>
        </w:rPr>
        <w:t>蛋类不少于2种</w:t>
      </w:r>
      <w:r>
        <w:rPr>
          <w:rFonts w:hint="eastAsia" w:ascii="宋体" w:hAnsi="宋体" w:eastAsia="宋体" w:cs="宋体"/>
          <w:bCs/>
          <w:color w:val="auto"/>
          <w:sz w:val="21"/>
          <w:szCs w:val="21"/>
          <w:highlight w:val="none"/>
        </w:rPr>
        <w:t>，现场制作风味小吃</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种</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奶制品15个品种，点心类10个品种</w:t>
      </w:r>
      <w:r>
        <w:rPr>
          <w:rFonts w:hint="eastAsia" w:ascii="宋体" w:hAnsi="宋体" w:eastAsia="宋体" w:cs="宋体"/>
          <w:bCs/>
          <w:color w:val="auto"/>
          <w:sz w:val="21"/>
          <w:szCs w:val="21"/>
          <w:highlight w:val="none"/>
        </w:rPr>
        <w:t>。</w:t>
      </w:r>
    </w:p>
    <w:p w14:paraId="5F5A7ED1">
      <w:pPr>
        <w:spacing w:before="120" w:line="35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（2）中餐：不低于24个品种，每天不少于12个热菜，2个汤（粥），8-10种主食以及1-2种现场制作风味小吃。</w:t>
      </w:r>
    </w:p>
    <w:p w14:paraId="2D742C8E">
      <w:pPr>
        <w:spacing w:before="120" w:line="35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（3）晚餐：晚餐热菜不少于8种（含主荤、半荤、纯素），主食不少于6个品种。</w:t>
      </w:r>
    </w:p>
    <w:p w14:paraId="178F1FDC">
      <w:pPr>
        <w:spacing w:before="120" w:line="35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（4）照顾到不同民族的用餐需求。</w:t>
      </w:r>
    </w:p>
    <w:p w14:paraId="5A1241FD">
      <w:pPr>
        <w:spacing w:before="120" w:line="35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（5）其他小炒、风味小吃、团餐</w:t>
      </w:r>
      <w:r>
        <w:rPr>
          <w:rFonts w:hint="eastAsia" w:ascii="宋体" w:hAnsi="宋体" w:eastAsia="宋体" w:cs="宋体"/>
          <w:bCs/>
          <w:color w:val="auto"/>
          <w:sz w:val="21"/>
          <w:szCs w:val="21"/>
          <w:highlight w:val="none"/>
          <w:lang w:val="en-US" w:eastAsia="zh-CN"/>
        </w:rPr>
        <w:t>等</w:t>
      </w:r>
      <w:r>
        <w:rPr>
          <w:rFonts w:hint="eastAsia" w:ascii="宋体" w:hAnsi="宋体" w:eastAsia="宋体" w:cs="宋体"/>
          <w:bCs/>
          <w:color w:val="auto"/>
          <w:sz w:val="21"/>
          <w:szCs w:val="21"/>
          <w:highlight w:val="none"/>
        </w:rPr>
        <w:t>满足甲方需求。</w:t>
      </w:r>
    </w:p>
    <w:p w14:paraId="0A42E351">
      <w:pPr>
        <w:spacing w:before="120" w:line="35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6）餐品的定量：</w:t>
      </w:r>
    </w:p>
    <w:p w14:paraId="6F5F0467">
      <w:pPr>
        <w:spacing w:before="120" w:line="35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一层团餐供应的常规菜品（不包含特殊菜品），干菜菜品每份不少于200克，带欠汁菜品每份不少于300克，汤菜每份不少于400克。</w:t>
      </w:r>
    </w:p>
    <w:p w14:paraId="05DCA017">
      <w:pPr>
        <w:numPr>
          <w:ilvl w:val="0"/>
          <w:numId w:val="11"/>
        </w:numPr>
        <w:spacing w:before="120" w:line="35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餐品的定价</w:t>
      </w:r>
    </w:p>
    <w:p w14:paraId="2F974F94">
      <w:pPr>
        <w:numPr>
          <w:ilvl w:val="0"/>
          <w:numId w:val="0"/>
        </w:numPr>
        <w:spacing w:before="120" w:line="350" w:lineRule="exact"/>
        <w:ind w:firstLine="48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职工团餐及二层小吃菜品单品定价在1元到25元之间，最高价位不得超出每份25元的标准。</w:t>
      </w:r>
    </w:p>
    <w:p w14:paraId="3ED8E2D8">
      <w:pPr>
        <w:numPr>
          <w:ilvl w:val="0"/>
          <w:numId w:val="0"/>
        </w:numPr>
        <w:spacing w:before="120" w:line="350" w:lineRule="exact"/>
        <w:ind w:firstLine="48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（8）在食堂内售卖所有餐品均由食堂自制，不允许外购。（包括熟食、凉菜、拉皮、凉粉、凉面、轻食等）</w:t>
      </w:r>
    </w:p>
    <w:p w14:paraId="18888972">
      <w:pPr>
        <w:numPr>
          <w:ilvl w:val="0"/>
          <w:numId w:val="0"/>
        </w:numPr>
        <w:spacing w:before="120" w:line="350" w:lineRule="exact"/>
        <w:ind w:firstLine="422" w:firstLineChars="200"/>
        <w:rPr>
          <w:rFonts w:hint="eastAsia" w:ascii="宋体" w:hAnsi="宋体" w:eastAsia="宋体" w:cs="宋体"/>
          <w:b/>
          <w:bCs w:val="0"/>
          <w:color w:val="auto"/>
          <w:sz w:val="21"/>
          <w:szCs w:val="21"/>
          <w:highlight w:val="none"/>
          <w:lang w:val="en-US" w:eastAsia="zh-CN"/>
        </w:rPr>
      </w:pPr>
      <w:bookmarkStart w:id="72" w:name="_Toc428694200"/>
      <w:bookmarkStart w:id="73" w:name="_Toc492818970"/>
      <w:r>
        <w:rPr>
          <w:rFonts w:hint="eastAsia" w:ascii="宋体" w:hAnsi="宋体" w:eastAsia="宋体" w:cs="宋体"/>
          <w:b/>
          <w:bCs w:val="0"/>
          <w:color w:val="auto"/>
          <w:sz w:val="21"/>
          <w:szCs w:val="21"/>
          <w:highlight w:val="none"/>
          <w:lang w:val="en-US" w:eastAsia="zh-CN"/>
        </w:rPr>
        <w:t>4.开餐时间：</w:t>
      </w:r>
    </w:p>
    <w:p w14:paraId="07766D1D">
      <w:pPr>
        <w:numPr>
          <w:ilvl w:val="0"/>
          <w:numId w:val="0"/>
        </w:numPr>
        <w:spacing w:before="120" w:line="350" w:lineRule="exact"/>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工作日一层开餐时间（节假日一层不营业）</w:t>
      </w:r>
    </w:p>
    <w:p w14:paraId="45196AF2">
      <w:pPr>
        <w:numPr>
          <w:ilvl w:val="0"/>
          <w:numId w:val="0"/>
        </w:numPr>
        <w:spacing w:before="120" w:line="350" w:lineRule="exact"/>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早餐：7：00---9：00</w:t>
      </w:r>
    </w:p>
    <w:p w14:paraId="362FB0EF">
      <w:pPr>
        <w:numPr>
          <w:ilvl w:val="0"/>
          <w:numId w:val="0"/>
        </w:numPr>
        <w:spacing w:before="120" w:line="350" w:lineRule="exact"/>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午餐：11：15---13：15</w:t>
      </w:r>
    </w:p>
    <w:p w14:paraId="6E12AF65">
      <w:pPr>
        <w:numPr>
          <w:ilvl w:val="0"/>
          <w:numId w:val="0"/>
        </w:numPr>
        <w:spacing w:before="120" w:line="350" w:lineRule="exact"/>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晚餐：17：00---19：00</w:t>
      </w:r>
    </w:p>
    <w:p w14:paraId="7664DB40">
      <w:pPr>
        <w:numPr>
          <w:ilvl w:val="0"/>
          <w:numId w:val="0"/>
        </w:numPr>
        <w:spacing w:before="120" w:line="350" w:lineRule="exact"/>
        <w:ind w:firstLine="420" w:firstLineChars="200"/>
        <w:rPr>
          <w:rFonts w:hint="eastAsia" w:ascii="宋体" w:hAnsi="宋体" w:eastAsia="宋体" w:cs="宋体"/>
          <w:b w:val="0"/>
          <w:bCs/>
          <w:color w:val="auto"/>
          <w:sz w:val="21"/>
          <w:szCs w:val="21"/>
          <w:highlight w:val="none"/>
          <w:lang w:val="en-US" w:eastAsia="zh-CN"/>
        </w:rPr>
      </w:pPr>
    </w:p>
    <w:p w14:paraId="79DEDFBE">
      <w:pPr>
        <w:numPr>
          <w:ilvl w:val="0"/>
          <w:numId w:val="0"/>
        </w:numPr>
        <w:spacing w:before="120" w:line="350" w:lineRule="exact"/>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工作日二层开餐时间</w:t>
      </w:r>
    </w:p>
    <w:p w14:paraId="72326A66">
      <w:pPr>
        <w:numPr>
          <w:ilvl w:val="0"/>
          <w:numId w:val="0"/>
        </w:numPr>
        <w:spacing w:before="120" w:line="350" w:lineRule="exact"/>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午餐：11：30---13：15</w:t>
      </w:r>
    </w:p>
    <w:p w14:paraId="65857645">
      <w:pPr>
        <w:numPr>
          <w:ilvl w:val="0"/>
          <w:numId w:val="0"/>
        </w:numPr>
        <w:spacing w:before="120" w:line="350" w:lineRule="exact"/>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晚餐：17：00---19：00</w:t>
      </w:r>
    </w:p>
    <w:p w14:paraId="2772F45D">
      <w:pPr>
        <w:numPr>
          <w:ilvl w:val="0"/>
          <w:numId w:val="0"/>
        </w:numPr>
        <w:spacing w:before="120" w:line="350" w:lineRule="exact"/>
        <w:ind w:firstLine="562"/>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节假日一层开餐时间</w:t>
      </w:r>
    </w:p>
    <w:p w14:paraId="4F3D9B17">
      <w:pPr>
        <w:numPr>
          <w:ilvl w:val="0"/>
          <w:numId w:val="0"/>
        </w:numPr>
        <w:spacing w:before="120" w:line="350" w:lineRule="exact"/>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早餐：8：00---9：00</w:t>
      </w:r>
    </w:p>
    <w:p w14:paraId="770C03D8">
      <w:pPr>
        <w:numPr>
          <w:ilvl w:val="0"/>
          <w:numId w:val="0"/>
        </w:numPr>
        <w:spacing w:before="120" w:line="350" w:lineRule="exact"/>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午餐：11：30---13：15</w:t>
      </w:r>
    </w:p>
    <w:p w14:paraId="1816A33C">
      <w:pPr>
        <w:numPr>
          <w:ilvl w:val="0"/>
          <w:numId w:val="0"/>
        </w:numPr>
        <w:spacing w:before="120" w:line="350" w:lineRule="exact"/>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晚餐：17：00---19：00</w:t>
      </w:r>
    </w:p>
    <w:p w14:paraId="4F88DABF">
      <w:pPr>
        <w:numPr>
          <w:ilvl w:val="0"/>
          <w:numId w:val="0"/>
        </w:numPr>
        <w:spacing w:before="120" w:line="350" w:lineRule="exact"/>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注：节假日根据甲方要求进行供餐</w:t>
      </w:r>
    </w:p>
    <w:p w14:paraId="69FF3D6E">
      <w:pPr>
        <w:numPr>
          <w:ilvl w:val="0"/>
          <w:numId w:val="0"/>
        </w:numPr>
        <w:spacing w:before="120" w:line="350" w:lineRule="exact"/>
        <w:ind w:firstLine="562"/>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包间营业时间</w:t>
      </w:r>
    </w:p>
    <w:p w14:paraId="51A6A052">
      <w:pPr>
        <w:numPr>
          <w:ilvl w:val="0"/>
          <w:numId w:val="0"/>
        </w:numPr>
        <w:spacing w:before="120" w:line="350" w:lineRule="exact"/>
        <w:ind w:firstLine="562"/>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午餐：11：30开始至用餐结束</w:t>
      </w:r>
    </w:p>
    <w:p w14:paraId="5A751F31">
      <w:pPr>
        <w:numPr>
          <w:ilvl w:val="0"/>
          <w:numId w:val="0"/>
        </w:numPr>
        <w:spacing w:before="120" w:line="350" w:lineRule="exact"/>
        <w:ind w:firstLine="562"/>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晚餐：17：30开始至用餐结束</w:t>
      </w:r>
    </w:p>
    <w:p w14:paraId="117EBDE5">
      <w:pPr>
        <w:numPr>
          <w:ilvl w:val="0"/>
          <w:numId w:val="0"/>
        </w:numPr>
        <w:spacing w:before="120" w:line="350" w:lineRule="exact"/>
        <w:ind w:firstLine="562"/>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注：包间供应午餐及晚餐，用餐需提前两小时预定，如遇特殊情况，可根据客人要求调整供餐时间。</w:t>
      </w:r>
    </w:p>
    <w:p w14:paraId="15FA06AD">
      <w:pPr>
        <w:pStyle w:val="66"/>
        <w:shd w:val="clear" w:color="auto" w:fill="FFFFFF"/>
        <w:spacing w:before="240" w:beforeAutospacing="0" w:after="120" w:afterAutospacing="0" w:line="350" w:lineRule="exact"/>
        <w:ind w:firstLine="422" w:firstLineChars="200"/>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条  甲方权利和义务</w:t>
      </w:r>
      <w:bookmarkEnd w:id="72"/>
      <w:bookmarkEnd w:id="73"/>
    </w:p>
    <w:p w14:paraId="165D89C0">
      <w:pPr>
        <w:tabs>
          <w:tab w:val="left" w:pos="312"/>
        </w:tabs>
        <w:spacing w:before="120" w:line="350" w:lineRule="exact"/>
        <w:ind w:firstLine="422" w:firstLineChars="200"/>
        <w:rPr>
          <w:rFonts w:hint="eastAsia" w:ascii="宋体" w:hAnsi="宋体" w:eastAsia="宋体" w:cs="宋体"/>
          <w:b/>
          <w:bCs w:val="0"/>
          <w:strike w:val="0"/>
          <w:dstrike w:val="0"/>
          <w:color w:val="auto"/>
          <w:sz w:val="21"/>
          <w:szCs w:val="21"/>
          <w:highlight w:val="none"/>
          <w:lang w:val="en-US" w:eastAsia="zh-CN"/>
        </w:rPr>
      </w:pPr>
      <w:r>
        <w:rPr>
          <w:rFonts w:hint="eastAsia" w:ascii="宋体" w:hAnsi="宋体" w:eastAsia="宋体" w:cs="宋体"/>
          <w:b/>
          <w:bCs w:val="0"/>
          <w:strike w:val="0"/>
          <w:dstrike w:val="0"/>
          <w:color w:val="auto"/>
          <w:sz w:val="21"/>
          <w:szCs w:val="21"/>
          <w:highlight w:val="none"/>
          <w:lang w:val="en-US" w:eastAsia="zh-CN"/>
        </w:rPr>
        <w:t>1.甲方权利：</w:t>
      </w:r>
    </w:p>
    <w:p w14:paraId="7EB29941">
      <w:pPr>
        <w:spacing w:before="120" w:line="350" w:lineRule="exact"/>
        <w:ind w:firstLine="420" w:firstLineChars="200"/>
        <w:rPr>
          <w:rFonts w:hint="eastAsia" w:ascii="宋体" w:hAnsi="宋体" w:eastAsia="宋体" w:cs="宋体"/>
          <w:bCs/>
          <w:strike w:val="0"/>
          <w:dstrike w:val="0"/>
          <w:color w:val="auto"/>
          <w:sz w:val="21"/>
          <w:szCs w:val="21"/>
          <w:highlight w:val="none"/>
          <w:lang w:val="en-US" w:eastAsia="zh-CN"/>
        </w:rPr>
      </w:pPr>
      <w:r>
        <w:rPr>
          <w:rFonts w:hint="eastAsia" w:ascii="宋体" w:hAnsi="宋体" w:eastAsia="宋体" w:cs="宋体"/>
          <w:bCs/>
          <w:strike w:val="0"/>
          <w:dstrike w:val="0"/>
          <w:color w:val="auto"/>
          <w:sz w:val="21"/>
          <w:szCs w:val="21"/>
          <w:highlight w:val="none"/>
          <w:lang w:val="en-US" w:eastAsia="zh-CN"/>
        </w:rPr>
        <w:t>（1）凡在软件所食堂办理新餐卡和退卡业务的单位，需经园区管理中心批准后方可办理。</w:t>
      </w:r>
    </w:p>
    <w:p w14:paraId="3F16CC7D">
      <w:pPr>
        <w:spacing w:before="120" w:line="350" w:lineRule="exact"/>
        <w:ind w:firstLine="420" w:firstLineChars="200"/>
        <w:rPr>
          <w:rFonts w:hint="eastAsia" w:ascii="宋体" w:hAnsi="宋体" w:eastAsia="宋体" w:cs="宋体"/>
          <w:bCs/>
          <w:strike w:val="0"/>
          <w:dstrike w:val="0"/>
          <w:color w:val="auto"/>
          <w:sz w:val="21"/>
          <w:szCs w:val="21"/>
          <w:highlight w:val="none"/>
          <w:lang w:val="en-US" w:eastAsia="zh-CN"/>
        </w:rPr>
      </w:pPr>
      <w:r>
        <w:rPr>
          <w:rFonts w:hint="eastAsia" w:ascii="宋体" w:hAnsi="宋体" w:eastAsia="宋体" w:cs="宋体"/>
          <w:bCs/>
          <w:strike w:val="0"/>
          <w:dstrike w:val="0"/>
          <w:color w:val="auto"/>
          <w:sz w:val="21"/>
          <w:szCs w:val="21"/>
          <w:highlight w:val="none"/>
          <w:lang w:val="en-US" w:eastAsia="zh-CN"/>
        </w:rPr>
        <w:t>（2）甲方有权按照国家及北京市有关食品、卫生防疫、消防、安全生产等相关法律法规对乙方以下各项工作进行监督和检查：</w:t>
      </w:r>
    </w:p>
    <w:p w14:paraId="4C9E1096">
      <w:pPr>
        <w:numPr>
          <w:ilvl w:val="0"/>
          <w:numId w:val="0"/>
        </w:numPr>
        <w:spacing w:before="120" w:line="350" w:lineRule="exact"/>
        <w:ind w:firstLine="630" w:firstLineChars="300"/>
        <w:rPr>
          <w:rFonts w:hint="eastAsia" w:ascii="宋体" w:hAnsi="宋体" w:eastAsia="宋体" w:cs="宋体"/>
          <w:bCs/>
          <w:strike w:val="0"/>
          <w:dstrike w:val="0"/>
          <w:color w:val="auto"/>
          <w:sz w:val="21"/>
          <w:szCs w:val="21"/>
          <w:highlight w:val="none"/>
          <w:lang w:val="en-US" w:eastAsia="zh-CN"/>
        </w:rPr>
      </w:pPr>
      <w:r>
        <w:rPr>
          <w:rFonts w:hint="eastAsia" w:ascii="宋体" w:hAnsi="宋体" w:eastAsia="宋体" w:cs="宋体"/>
          <w:bCs/>
          <w:strike w:val="0"/>
          <w:dstrike w:val="0"/>
          <w:color w:val="auto"/>
          <w:sz w:val="21"/>
          <w:szCs w:val="21"/>
          <w:highlight w:val="none"/>
          <w:lang w:val="en-US" w:eastAsia="zh-CN"/>
        </w:rPr>
        <w:t>餐厅、厨房、冷库、库房、宿舍、灶具、厨具、餐具、食品和乙方人员的卫生情况及从业人员健康证明。</w:t>
      </w:r>
    </w:p>
    <w:p w14:paraId="1BABA336">
      <w:pPr>
        <w:numPr>
          <w:ilvl w:val="0"/>
          <w:numId w:val="0"/>
        </w:numPr>
        <w:spacing w:before="120" w:line="350" w:lineRule="exact"/>
        <w:ind w:firstLine="630" w:firstLineChars="300"/>
        <w:rPr>
          <w:rFonts w:hint="eastAsia" w:ascii="宋体" w:hAnsi="宋体" w:eastAsia="宋体" w:cs="宋体"/>
          <w:bCs/>
          <w:strike w:val="0"/>
          <w:dstrike w:val="0"/>
          <w:color w:val="auto"/>
          <w:sz w:val="21"/>
          <w:szCs w:val="21"/>
          <w:highlight w:val="none"/>
          <w:lang w:val="en-US" w:eastAsia="zh-CN"/>
        </w:rPr>
      </w:pPr>
      <w:r>
        <w:rPr>
          <w:rFonts w:hint="eastAsia" w:ascii="宋体" w:hAnsi="宋体" w:eastAsia="宋体" w:cs="宋体"/>
          <w:bCs/>
          <w:strike w:val="0"/>
          <w:dstrike w:val="0"/>
          <w:color w:val="auto"/>
          <w:sz w:val="21"/>
          <w:szCs w:val="21"/>
          <w:highlight w:val="none"/>
          <w:lang w:val="en-US" w:eastAsia="zh-CN"/>
        </w:rPr>
        <w:t>经营场所灭四害情况。</w:t>
      </w:r>
    </w:p>
    <w:p w14:paraId="163DF8C5">
      <w:pPr>
        <w:numPr>
          <w:ilvl w:val="0"/>
          <w:numId w:val="0"/>
        </w:numPr>
        <w:spacing w:before="120" w:line="350" w:lineRule="exact"/>
        <w:ind w:firstLine="630" w:firstLineChars="300"/>
        <w:rPr>
          <w:rFonts w:hint="eastAsia" w:ascii="宋体" w:hAnsi="宋体" w:eastAsia="宋体" w:cs="宋体"/>
          <w:bCs/>
          <w:strike w:val="0"/>
          <w:dstrike w:val="0"/>
          <w:color w:val="auto"/>
          <w:sz w:val="21"/>
          <w:szCs w:val="21"/>
          <w:highlight w:val="none"/>
          <w:lang w:val="en-US" w:eastAsia="zh-CN"/>
        </w:rPr>
      </w:pPr>
      <w:r>
        <w:rPr>
          <w:rFonts w:hint="eastAsia" w:ascii="宋体" w:hAnsi="宋体" w:eastAsia="宋体" w:cs="宋体"/>
          <w:bCs/>
          <w:strike w:val="0"/>
          <w:dstrike w:val="0"/>
          <w:color w:val="auto"/>
          <w:sz w:val="21"/>
          <w:szCs w:val="21"/>
          <w:highlight w:val="none"/>
          <w:lang w:val="en-US" w:eastAsia="zh-CN"/>
        </w:rPr>
        <w:t>甲方提供的设施、设备的使用、保养、维修情况。</w:t>
      </w:r>
    </w:p>
    <w:p w14:paraId="3DE09E84">
      <w:pPr>
        <w:numPr>
          <w:ilvl w:val="0"/>
          <w:numId w:val="0"/>
        </w:numPr>
        <w:spacing w:before="120" w:line="350" w:lineRule="exact"/>
        <w:ind w:firstLine="630" w:firstLineChars="300"/>
        <w:rPr>
          <w:rFonts w:hint="eastAsia" w:ascii="宋体" w:hAnsi="宋体" w:eastAsia="宋体" w:cs="宋体"/>
          <w:bCs/>
          <w:strike w:val="0"/>
          <w:dstrike w:val="0"/>
          <w:color w:val="auto"/>
          <w:sz w:val="21"/>
          <w:szCs w:val="21"/>
          <w:highlight w:val="none"/>
          <w:lang w:val="en-US" w:eastAsia="zh-CN"/>
        </w:rPr>
      </w:pPr>
      <w:r>
        <w:rPr>
          <w:rFonts w:hint="eastAsia" w:ascii="宋体" w:hAnsi="宋体" w:eastAsia="宋体" w:cs="宋体"/>
          <w:bCs/>
          <w:strike w:val="0"/>
          <w:dstrike w:val="0"/>
          <w:color w:val="auto"/>
          <w:sz w:val="21"/>
          <w:szCs w:val="21"/>
          <w:highlight w:val="none"/>
          <w:lang w:val="en-US" w:eastAsia="zh-CN"/>
        </w:rPr>
        <w:t>水、电、气的使用情况。</w:t>
      </w:r>
    </w:p>
    <w:p w14:paraId="57483C98">
      <w:pPr>
        <w:numPr>
          <w:ilvl w:val="0"/>
          <w:numId w:val="0"/>
        </w:numPr>
        <w:spacing w:before="120" w:line="350" w:lineRule="exact"/>
        <w:ind w:firstLine="630" w:firstLineChars="300"/>
        <w:rPr>
          <w:rFonts w:hint="eastAsia" w:ascii="宋体" w:hAnsi="宋体" w:eastAsia="宋体" w:cs="宋体"/>
          <w:bCs/>
          <w:strike w:val="0"/>
          <w:dstrike w:val="0"/>
          <w:color w:val="auto"/>
          <w:sz w:val="21"/>
          <w:szCs w:val="21"/>
          <w:highlight w:val="none"/>
          <w:lang w:val="en-US" w:eastAsia="zh-CN"/>
        </w:rPr>
      </w:pPr>
      <w:r>
        <w:rPr>
          <w:rFonts w:hint="eastAsia" w:ascii="宋体" w:hAnsi="宋体" w:eastAsia="宋体" w:cs="宋体"/>
          <w:bCs/>
          <w:strike w:val="0"/>
          <w:dstrike w:val="0"/>
          <w:color w:val="auto"/>
          <w:sz w:val="21"/>
          <w:szCs w:val="21"/>
          <w:highlight w:val="none"/>
          <w:lang w:val="en-US" w:eastAsia="zh-CN"/>
        </w:rPr>
        <w:t>餐厅、厨房消防安全及操作安全情况。</w:t>
      </w:r>
    </w:p>
    <w:p w14:paraId="5ED9B835">
      <w:pPr>
        <w:spacing w:before="120" w:line="350" w:lineRule="exact"/>
        <w:ind w:firstLine="420" w:firstLineChars="200"/>
        <w:rPr>
          <w:rFonts w:hint="eastAsia" w:ascii="宋体" w:hAnsi="宋体" w:eastAsia="宋体" w:cs="宋体"/>
          <w:bCs/>
          <w:strike w:val="0"/>
          <w:dstrike w:val="0"/>
          <w:color w:val="auto"/>
          <w:sz w:val="21"/>
          <w:szCs w:val="21"/>
          <w:highlight w:val="none"/>
          <w:lang w:val="en-US" w:eastAsia="zh-CN"/>
        </w:rPr>
      </w:pPr>
      <w:r>
        <w:rPr>
          <w:rFonts w:hint="eastAsia" w:ascii="宋体" w:hAnsi="宋体" w:eastAsia="宋体" w:cs="宋体"/>
          <w:bCs/>
          <w:strike w:val="0"/>
          <w:dstrike w:val="0"/>
          <w:color w:val="auto"/>
          <w:sz w:val="21"/>
          <w:szCs w:val="21"/>
          <w:highlight w:val="none"/>
          <w:lang w:val="en-US" w:eastAsia="zh-CN"/>
        </w:rPr>
        <w:t>（3）甲方有权监管乙方有关本项目的主、副食原料采购资质和售卖的食品、菜品价格。</w:t>
      </w:r>
    </w:p>
    <w:p w14:paraId="0FA7D69F">
      <w:pPr>
        <w:numPr>
          <w:ilvl w:val="0"/>
          <w:numId w:val="0"/>
        </w:numPr>
        <w:spacing w:before="120" w:line="350" w:lineRule="exact"/>
        <w:ind w:firstLine="630" w:firstLineChars="300"/>
        <w:rPr>
          <w:rFonts w:hint="eastAsia" w:ascii="宋体" w:hAnsi="宋体" w:eastAsia="宋体" w:cs="宋体"/>
          <w:bCs/>
          <w:strike w:val="0"/>
          <w:dstrike w:val="0"/>
          <w:color w:val="auto"/>
          <w:sz w:val="21"/>
          <w:szCs w:val="21"/>
          <w:highlight w:val="none"/>
          <w:lang w:val="en-US" w:eastAsia="zh-CN"/>
        </w:rPr>
      </w:pPr>
      <w:r>
        <w:rPr>
          <w:rFonts w:hint="eastAsia" w:ascii="宋体" w:hAnsi="宋体" w:eastAsia="宋体" w:cs="宋体"/>
          <w:bCs/>
          <w:strike w:val="0"/>
          <w:dstrike w:val="0"/>
          <w:color w:val="auto"/>
          <w:sz w:val="21"/>
          <w:szCs w:val="21"/>
          <w:highlight w:val="none"/>
          <w:lang w:val="en-US" w:eastAsia="zh-CN"/>
        </w:rPr>
        <w:t>乙方应每星期向甲方提供一周食品菜单，菜单中标明食品价格、克数、配料，如因原材料供应、质量等非乙方原因导致无法按原菜谱供应的，乙方有权在征求甲方意见后对菜谱进行调整。</w:t>
      </w:r>
    </w:p>
    <w:p w14:paraId="7885A499">
      <w:pPr>
        <w:numPr>
          <w:ilvl w:val="0"/>
          <w:numId w:val="0"/>
        </w:numPr>
        <w:spacing w:before="120" w:line="350" w:lineRule="exact"/>
        <w:ind w:firstLine="630" w:firstLineChars="300"/>
        <w:rPr>
          <w:rFonts w:hint="eastAsia" w:ascii="宋体" w:hAnsi="宋体" w:eastAsia="宋体" w:cs="宋体"/>
          <w:bCs/>
          <w:strike w:val="0"/>
          <w:dstrike w:val="0"/>
          <w:color w:val="auto"/>
          <w:sz w:val="21"/>
          <w:szCs w:val="21"/>
          <w:highlight w:val="none"/>
          <w:lang w:val="en-US" w:eastAsia="zh-CN"/>
        </w:rPr>
      </w:pPr>
      <w:r>
        <w:rPr>
          <w:rFonts w:hint="eastAsia" w:ascii="宋体" w:hAnsi="宋体" w:eastAsia="宋体" w:cs="宋体"/>
          <w:bCs/>
          <w:strike w:val="0"/>
          <w:dstrike w:val="0"/>
          <w:color w:val="auto"/>
          <w:sz w:val="21"/>
          <w:szCs w:val="21"/>
          <w:highlight w:val="none"/>
          <w:lang w:val="en-US" w:eastAsia="zh-CN"/>
        </w:rPr>
        <w:t>甲方有权审查乙方每月向甲方提供的月原材料采购表、成本核算表、原材料进货单、出库单。</w:t>
      </w:r>
    </w:p>
    <w:p w14:paraId="63EB0845">
      <w:pPr>
        <w:numPr>
          <w:ilvl w:val="0"/>
          <w:numId w:val="0"/>
        </w:numPr>
        <w:spacing w:before="120" w:line="350" w:lineRule="exact"/>
        <w:ind w:firstLine="630" w:firstLineChars="300"/>
        <w:rPr>
          <w:rFonts w:hint="eastAsia" w:ascii="宋体" w:hAnsi="宋体" w:eastAsia="宋体" w:cs="宋体"/>
          <w:bCs/>
          <w:strike w:val="0"/>
          <w:dstrike w:val="0"/>
          <w:color w:val="auto"/>
          <w:sz w:val="21"/>
          <w:szCs w:val="21"/>
          <w:highlight w:val="none"/>
          <w:lang w:val="en-US" w:eastAsia="zh-CN"/>
        </w:rPr>
      </w:pPr>
      <w:r>
        <w:rPr>
          <w:rFonts w:hint="eastAsia" w:ascii="宋体" w:hAnsi="宋体" w:eastAsia="宋体" w:cs="宋体"/>
          <w:bCs/>
          <w:strike w:val="0"/>
          <w:dstrike w:val="0"/>
          <w:color w:val="auto"/>
          <w:sz w:val="21"/>
          <w:szCs w:val="21"/>
          <w:highlight w:val="none"/>
          <w:lang w:val="en-US" w:eastAsia="zh-CN"/>
        </w:rPr>
        <w:t>甲方有权向乙方提出限期改正要求及更换不合格的工作人员。</w:t>
      </w:r>
    </w:p>
    <w:p w14:paraId="33DD0A4D">
      <w:pPr>
        <w:numPr>
          <w:ilvl w:val="0"/>
          <w:numId w:val="0"/>
        </w:numPr>
        <w:spacing w:before="120" w:line="350" w:lineRule="exact"/>
        <w:ind w:firstLine="630" w:firstLineChars="300"/>
        <w:rPr>
          <w:rFonts w:hint="eastAsia" w:ascii="宋体" w:hAnsi="宋体" w:eastAsia="宋体" w:cs="宋体"/>
          <w:bCs/>
          <w:strike w:val="0"/>
          <w:dstrike w:val="0"/>
          <w:color w:val="auto"/>
          <w:sz w:val="21"/>
          <w:szCs w:val="21"/>
          <w:highlight w:val="none"/>
          <w:lang w:val="en-US" w:eastAsia="zh-CN"/>
        </w:rPr>
      </w:pPr>
      <w:r>
        <w:rPr>
          <w:rFonts w:hint="eastAsia" w:ascii="宋体" w:hAnsi="宋体" w:eastAsia="宋体" w:cs="宋体"/>
          <w:bCs/>
          <w:strike w:val="0"/>
          <w:dstrike w:val="0"/>
          <w:color w:val="auto"/>
          <w:sz w:val="21"/>
          <w:szCs w:val="21"/>
          <w:highlight w:val="none"/>
          <w:lang w:val="en-US" w:eastAsia="zh-CN"/>
        </w:rPr>
        <w:t>甲方有权对乙方进行督导检查。</w:t>
      </w:r>
    </w:p>
    <w:p w14:paraId="12A2245B">
      <w:pPr>
        <w:numPr>
          <w:ilvl w:val="0"/>
          <w:numId w:val="0"/>
        </w:numPr>
        <w:spacing w:before="120" w:line="350" w:lineRule="exact"/>
        <w:ind w:left="320" w:leftChars="0" w:firstLine="211" w:firstLineChars="100"/>
        <w:rPr>
          <w:rFonts w:hint="eastAsia" w:ascii="宋体" w:hAnsi="宋体" w:eastAsia="宋体" w:cs="宋体"/>
          <w:b/>
          <w:bCs w:val="0"/>
          <w:strike w:val="0"/>
          <w:dstrike w:val="0"/>
          <w:color w:val="auto"/>
          <w:sz w:val="21"/>
          <w:szCs w:val="21"/>
          <w:highlight w:val="none"/>
          <w:lang w:val="en-US" w:eastAsia="zh-CN"/>
        </w:rPr>
      </w:pPr>
      <w:r>
        <w:rPr>
          <w:rFonts w:hint="eastAsia" w:ascii="宋体" w:hAnsi="宋体" w:eastAsia="宋体" w:cs="宋体"/>
          <w:b/>
          <w:bCs w:val="0"/>
          <w:strike w:val="0"/>
          <w:dstrike w:val="0"/>
          <w:color w:val="auto"/>
          <w:sz w:val="21"/>
          <w:szCs w:val="21"/>
          <w:highlight w:val="none"/>
          <w:lang w:val="en-US" w:eastAsia="zh-CN"/>
        </w:rPr>
        <w:t>2.甲方义务：</w:t>
      </w:r>
    </w:p>
    <w:p w14:paraId="537E20CB">
      <w:pPr>
        <w:numPr>
          <w:ilvl w:val="0"/>
          <w:numId w:val="0"/>
        </w:numPr>
        <w:spacing w:before="120" w:line="350" w:lineRule="exact"/>
        <w:ind w:firstLine="420" w:firstLineChars="200"/>
        <w:rPr>
          <w:rFonts w:hint="eastAsia" w:ascii="宋体" w:hAnsi="宋体" w:eastAsia="宋体" w:cs="宋体"/>
          <w:bCs/>
          <w:strike w:val="0"/>
          <w:dstrike w:val="0"/>
          <w:color w:val="auto"/>
          <w:sz w:val="21"/>
          <w:szCs w:val="21"/>
          <w:highlight w:val="none"/>
          <w:lang w:val="en-US" w:eastAsia="zh-CN"/>
        </w:rPr>
      </w:pPr>
      <w:r>
        <w:rPr>
          <w:rFonts w:hint="eastAsia" w:ascii="宋体" w:hAnsi="宋体" w:eastAsia="宋体" w:cs="宋体"/>
          <w:bCs/>
          <w:strike w:val="0"/>
          <w:dstrike w:val="0"/>
          <w:color w:val="auto"/>
          <w:sz w:val="21"/>
          <w:szCs w:val="21"/>
          <w:highlight w:val="none"/>
          <w:lang w:val="en-US" w:eastAsia="zh-CN"/>
        </w:rPr>
        <w:t>（1）甲方提供符合规范的餐饮制作所需场地、餐厅、库房及现有的后厨设备、工具及餐桌椅。</w:t>
      </w:r>
    </w:p>
    <w:p w14:paraId="45284BE8">
      <w:pPr>
        <w:numPr>
          <w:ilvl w:val="0"/>
          <w:numId w:val="0"/>
        </w:numPr>
        <w:spacing w:before="120" w:line="350" w:lineRule="exact"/>
        <w:ind w:firstLine="420" w:firstLineChars="200"/>
        <w:rPr>
          <w:rFonts w:hint="eastAsia" w:ascii="宋体" w:hAnsi="宋体" w:eastAsia="宋体" w:cs="宋体"/>
          <w:bCs/>
          <w:strike w:val="0"/>
          <w:dstrike w:val="0"/>
          <w:color w:val="auto"/>
          <w:sz w:val="21"/>
          <w:szCs w:val="21"/>
          <w:highlight w:val="none"/>
          <w:lang w:val="en-US" w:eastAsia="zh-CN"/>
        </w:rPr>
      </w:pPr>
      <w:r>
        <w:rPr>
          <w:rFonts w:hint="eastAsia" w:ascii="宋体" w:hAnsi="宋体" w:eastAsia="宋体" w:cs="宋体"/>
          <w:bCs/>
          <w:strike w:val="0"/>
          <w:dstrike w:val="0"/>
          <w:color w:val="auto"/>
          <w:sz w:val="21"/>
          <w:szCs w:val="21"/>
          <w:highlight w:val="none"/>
          <w:lang w:val="en-US" w:eastAsia="zh-CN"/>
        </w:rPr>
        <w:t>（2）甲方负责为乙方提供办公场所和男、女宿舍。</w:t>
      </w:r>
    </w:p>
    <w:p w14:paraId="54472EEE">
      <w:pPr>
        <w:numPr>
          <w:ilvl w:val="0"/>
          <w:numId w:val="0"/>
        </w:numPr>
        <w:spacing w:before="120" w:line="350" w:lineRule="exact"/>
        <w:ind w:firstLine="420" w:firstLineChars="200"/>
        <w:rPr>
          <w:rFonts w:hint="eastAsia" w:ascii="宋体" w:hAnsi="宋体" w:eastAsia="宋体" w:cs="宋体"/>
          <w:bCs/>
          <w:strike w:val="0"/>
          <w:dstrike w:val="0"/>
          <w:color w:val="auto"/>
          <w:sz w:val="21"/>
          <w:szCs w:val="21"/>
          <w:highlight w:val="none"/>
          <w:lang w:val="en-US" w:eastAsia="zh-CN"/>
        </w:rPr>
      </w:pPr>
      <w:r>
        <w:rPr>
          <w:rFonts w:hint="eastAsia" w:ascii="宋体" w:hAnsi="宋体" w:eastAsia="宋体" w:cs="宋体"/>
          <w:bCs/>
          <w:strike w:val="0"/>
          <w:dstrike w:val="0"/>
          <w:color w:val="auto"/>
          <w:sz w:val="21"/>
          <w:szCs w:val="21"/>
          <w:highlight w:val="none"/>
          <w:lang w:val="en-US" w:eastAsia="zh-CN"/>
        </w:rPr>
        <w:t>（3）负责现有餐厅、厨房、水、电、风、气系统隐蔽部分的非人为损坏的维修和更换。</w:t>
      </w:r>
    </w:p>
    <w:p w14:paraId="7EB16078">
      <w:pPr>
        <w:numPr>
          <w:ilvl w:val="0"/>
          <w:numId w:val="0"/>
        </w:numPr>
        <w:spacing w:before="120" w:line="350" w:lineRule="exact"/>
        <w:ind w:firstLine="420" w:firstLineChars="200"/>
        <w:rPr>
          <w:rFonts w:hint="eastAsia" w:ascii="宋体" w:hAnsi="宋体" w:eastAsia="宋体" w:cs="宋体"/>
          <w:bCs/>
          <w:strike w:val="0"/>
          <w:dstrike w:val="0"/>
          <w:color w:val="auto"/>
          <w:sz w:val="21"/>
          <w:szCs w:val="21"/>
          <w:highlight w:val="none"/>
          <w:lang w:val="en-US" w:eastAsia="zh-CN"/>
        </w:rPr>
      </w:pPr>
      <w:r>
        <w:rPr>
          <w:rFonts w:hint="eastAsia" w:ascii="宋体" w:hAnsi="宋体" w:eastAsia="宋体" w:cs="宋体"/>
          <w:bCs/>
          <w:strike w:val="0"/>
          <w:dstrike w:val="0"/>
          <w:color w:val="auto"/>
          <w:sz w:val="21"/>
          <w:szCs w:val="21"/>
          <w:highlight w:val="none"/>
          <w:lang w:val="en-US" w:eastAsia="zh-CN"/>
        </w:rPr>
        <w:t>（4）配合乙方进场时办理相关的手续等证明文件。</w:t>
      </w:r>
    </w:p>
    <w:p w14:paraId="3D14E2BD">
      <w:pPr>
        <w:numPr>
          <w:ilvl w:val="0"/>
          <w:numId w:val="0"/>
        </w:numPr>
        <w:spacing w:before="120" w:line="350" w:lineRule="exact"/>
        <w:ind w:firstLine="420" w:firstLineChars="200"/>
        <w:rPr>
          <w:rFonts w:hint="eastAsia" w:ascii="宋体" w:hAnsi="宋体" w:eastAsia="宋体" w:cs="宋体"/>
          <w:bCs/>
          <w:strike w:val="0"/>
          <w:dstrike w:val="0"/>
          <w:color w:val="auto"/>
          <w:sz w:val="21"/>
          <w:szCs w:val="21"/>
          <w:highlight w:val="none"/>
          <w:lang w:val="en-US" w:eastAsia="zh-CN"/>
        </w:rPr>
      </w:pPr>
      <w:r>
        <w:rPr>
          <w:rFonts w:hint="eastAsia" w:ascii="宋体" w:hAnsi="宋体" w:eastAsia="宋体" w:cs="宋体"/>
          <w:bCs/>
          <w:strike w:val="0"/>
          <w:dstrike w:val="0"/>
          <w:color w:val="auto"/>
          <w:sz w:val="21"/>
          <w:szCs w:val="21"/>
          <w:highlight w:val="none"/>
          <w:lang w:val="en-US" w:eastAsia="zh-CN"/>
        </w:rPr>
        <w:t>（5）为乙方履行本合同提供合理的进出服务场所之方便。</w:t>
      </w:r>
    </w:p>
    <w:p w14:paraId="19815BF8">
      <w:pPr>
        <w:numPr>
          <w:ilvl w:val="0"/>
          <w:numId w:val="0"/>
        </w:numPr>
        <w:spacing w:before="120" w:line="350" w:lineRule="exact"/>
        <w:ind w:firstLine="420" w:firstLineChars="200"/>
        <w:rPr>
          <w:rFonts w:hint="eastAsia" w:ascii="宋体" w:hAnsi="宋体" w:eastAsia="宋体" w:cs="宋体"/>
          <w:bCs/>
          <w:strike w:val="0"/>
          <w:dstrike w:val="0"/>
          <w:color w:val="auto"/>
          <w:sz w:val="21"/>
          <w:szCs w:val="21"/>
          <w:highlight w:val="none"/>
          <w:lang w:val="en-US" w:eastAsia="zh-CN"/>
        </w:rPr>
      </w:pPr>
      <w:r>
        <w:rPr>
          <w:rFonts w:hint="eastAsia" w:ascii="宋体" w:hAnsi="宋体" w:eastAsia="宋体" w:cs="宋体"/>
          <w:bCs/>
          <w:strike w:val="0"/>
          <w:dstrike w:val="0"/>
          <w:color w:val="auto"/>
          <w:sz w:val="21"/>
          <w:szCs w:val="21"/>
          <w:highlight w:val="none"/>
          <w:lang w:val="en-US" w:eastAsia="zh-CN"/>
        </w:rPr>
        <w:t>（6）如进行施工、装修、停电、停水等造成餐饮服务不能按平时正常状态进行时，应提前通知乙方。若因甲方原因且经乙方努力，仍不能供餐的或按时供餐的，乙方不承担责任。</w:t>
      </w:r>
    </w:p>
    <w:p w14:paraId="6D863C26">
      <w:pPr>
        <w:pStyle w:val="66"/>
        <w:shd w:val="clear" w:color="auto" w:fill="FFFFFF"/>
        <w:spacing w:before="240" w:beforeAutospacing="0" w:after="120" w:afterAutospacing="0" w:line="350" w:lineRule="exact"/>
        <w:ind w:firstLine="422" w:firstLineChars="200"/>
        <w:outlineLvl w:val="0"/>
        <w:rPr>
          <w:rFonts w:hint="eastAsia" w:ascii="宋体" w:hAnsi="宋体" w:eastAsia="宋体" w:cs="宋体"/>
          <w:b/>
          <w:color w:val="auto"/>
          <w:sz w:val="21"/>
          <w:szCs w:val="21"/>
          <w:highlight w:val="none"/>
        </w:rPr>
      </w:pPr>
      <w:bookmarkStart w:id="74" w:name="_Toc492818971"/>
      <w:bookmarkStart w:id="75" w:name="_Toc428694201"/>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条  乙方权利和义务</w:t>
      </w:r>
      <w:bookmarkEnd w:id="74"/>
      <w:bookmarkEnd w:id="75"/>
    </w:p>
    <w:p w14:paraId="57011495">
      <w:pPr>
        <w:spacing w:before="120" w:line="35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1.乙方权利：</w:t>
      </w:r>
    </w:p>
    <w:p w14:paraId="4F127D67">
      <w:pPr>
        <w:spacing w:before="120" w:line="35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有权依照国家法律规定和本合同规定，自主管理本合同所涉及的餐饮服务。</w:t>
      </w:r>
    </w:p>
    <w:p w14:paraId="0701E4A2">
      <w:pPr>
        <w:spacing w:before="120" w:line="35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2.乙方义务：</w:t>
      </w:r>
    </w:p>
    <w:p w14:paraId="4186A887">
      <w:pPr>
        <w:spacing w:before="120" w:line="35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（1）保证本合同涉及的食品安全、环境卫生、消防安全、操作安全等项目符合国家有关规定及标准，承担因其原因造成的事故责任。</w:t>
      </w:r>
    </w:p>
    <w:p w14:paraId="0A4F51A6">
      <w:pPr>
        <w:spacing w:before="120" w:line="35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（2）遵守甲方的管理规定及各项规章制度,积极配合甲方监管人员的工作,对于甲方的限期整改要求及合理建议,乙方应予采纳并执行。</w:t>
      </w:r>
    </w:p>
    <w:p w14:paraId="7176A100">
      <w:pPr>
        <w:spacing w:before="120" w:line="35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乙方进驻时对甲方所列的厨房设备、桌、椅等进行清点并签字验收（清单详见附件1）,签收后设备及设施的管理、维护保养、保管责任由乙方负责。对按规定需要维护保养的设备设施，需建立保养记录，提供保养合同。</w:t>
      </w:r>
    </w:p>
    <w:p w14:paraId="75A07534">
      <w:pPr>
        <w:spacing w:before="120" w:line="35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（4）乙方对于甲方提出的限期整改及合理建议应在24小时内解决,情况复杂的,最迟不得超过72小时。</w:t>
      </w:r>
    </w:p>
    <w:p w14:paraId="635C2D5D">
      <w:pPr>
        <w:numPr>
          <w:ilvl w:val="0"/>
          <w:numId w:val="0"/>
        </w:numPr>
        <w:spacing w:before="120" w:line="35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（5）未经甲方同意,不得擅自停止营业.未经甲方事先书面同意,不得转租、转包或采取第三方合作等方式变相转租、转包餐厅经营权。</w:t>
      </w:r>
    </w:p>
    <w:p w14:paraId="0D6CD920">
      <w:pPr>
        <w:numPr>
          <w:ilvl w:val="0"/>
          <w:numId w:val="0"/>
        </w:numPr>
        <w:spacing w:before="120" w:line="350" w:lineRule="exact"/>
        <w:ind w:left="320" w:lef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（6）每季度乙方向甲方做一次工作总结汇报，汇报的主要内容包括：餐厅经营状况、人员状况、管理状况、培训情况、投诉情况、反馈及措施、设备使用状况、员工活动、餐厅经营困难、季度工作计划等。</w:t>
      </w:r>
    </w:p>
    <w:p w14:paraId="5D424DC3">
      <w:pPr>
        <w:numPr>
          <w:ilvl w:val="0"/>
          <w:numId w:val="0"/>
        </w:numPr>
        <w:spacing w:before="120" w:line="35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（7）每月末向甲方提供餐厅经营的收支费用情况表。</w:t>
      </w:r>
    </w:p>
    <w:p w14:paraId="1B6E0992">
      <w:pPr>
        <w:numPr>
          <w:ilvl w:val="0"/>
          <w:numId w:val="0"/>
        </w:numPr>
        <w:spacing w:before="120" w:line="35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（8）接受甲方专职监管人员对乙方提供的服务实行动态跟踪、监督检查和考核评价工作。</w:t>
      </w:r>
    </w:p>
    <w:p w14:paraId="3C0377DA">
      <w:pPr>
        <w:numPr>
          <w:ilvl w:val="0"/>
          <w:numId w:val="0"/>
        </w:numPr>
        <w:spacing w:before="120" w:line="350" w:lineRule="exact"/>
        <w:ind w:left="320" w:leftChars="0" w:firstLine="210" w:firstLineChars="1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（9）保质保量、按时向甲方提供餐饮服务，保证所供的食材、物品的购进渠道与给甲方承诺的一致。</w:t>
      </w:r>
    </w:p>
    <w:p w14:paraId="09782C53">
      <w:pPr>
        <w:numPr>
          <w:ilvl w:val="0"/>
          <w:numId w:val="0"/>
        </w:numPr>
        <w:spacing w:before="120" w:line="350" w:lineRule="exact"/>
        <w:ind w:left="320" w:leftChars="0" w:firstLine="210" w:firstLineChars="1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（10）乙方负责支付餐厅全年水费、燃气费用，电费60%由甲方承担，乙方只支付40%电费。</w:t>
      </w:r>
    </w:p>
    <w:p w14:paraId="3C650196">
      <w:pPr>
        <w:numPr>
          <w:ilvl w:val="0"/>
          <w:numId w:val="0"/>
        </w:numPr>
        <w:spacing w:before="120" w:line="350" w:lineRule="exact"/>
        <w:ind w:left="320" w:leftChars="0" w:firstLine="210" w:firstLineChars="1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（11）乙方负责每60天对烟道、抽油烟等灶具设备进行清洗和工作,并承担其费用。</w:t>
      </w:r>
    </w:p>
    <w:p w14:paraId="734057CB">
      <w:pPr>
        <w:numPr>
          <w:ilvl w:val="0"/>
          <w:numId w:val="0"/>
        </w:numPr>
        <w:spacing w:before="120" w:line="350" w:lineRule="exact"/>
        <w:ind w:left="320" w:leftChars="0" w:firstLine="210" w:firstLineChars="1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（12）乙方负责配合园区物业定期灭“四害”工作,对其所辖区域内的虫控工作及承担相关费用。</w:t>
      </w:r>
    </w:p>
    <w:p w14:paraId="515CF581">
      <w:pPr>
        <w:numPr>
          <w:ilvl w:val="0"/>
          <w:numId w:val="0"/>
        </w:numPr>
        <w:spacing w:before="120" w:line="350" w:lineRule="exact"/>
        <w:ind w:left="320" w:leftChars="0" w:firstLine="210" w:firstLineChars="1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（13）乙方负责每周对下水隔油池至厨房段下水管线的清理工作及承担相关费用。</w:t>
      </w:r>
    </w:p>
    <w:p w14:paraId="0E963A4B">
      <w:pPr>
        <w:numPr>
          <w:ilvl w:val="0"/>
          <w:numId w:val="0"/>
        </w:numPr>
        <w:spacing w:before="120" w:line="350" w:lineRule="exact"/>
        <w:ind w:left="320" w:leftChars="0" w:firstLine="210" w:firstLineChars="1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（14）乙方负责同海淀环境卫生服务中心签订餐厨垃圾和生活垃圾回收合同及支付垃圾清运费用。</w:t>
      </w:r>
    </w:p>
    <w:p w14:paraId="3CBA1F83">
      <w:pPr>
        <w:numPr>
          <w:ilvl w:val="0"/>
          <w:numId w:val="0"/>
        </w:numPr>
        <w:spacing w:before="120" w:line="35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乙方</w:t>
      </w:r>
      <w:r>
        <w:rPr>
          <w:rFonts w:hint="eastAsia" w:ascii="宋体" w:hAnsi="宋体" w:eastAsia="宋体" w:cs="宋体"/>
          <w:bCs/>
          <w:color w:val="auto"/>
          <w:sz w:val="21"/>
          <w:szCs w:val="21"/>
          <w:highlight w:val="none"/>
          <w:lang w:val="en-US" w:eastAsia="zh-CN"/>
        </w:rPr>
        <w:t>按</w:t>
      </w:r>
      <w:r>
        <w:rPr>
          <w:rFonts w:hint="eastAsia" w:ascii="宋体" w:hAnsi="宋体" w:eastAsia="宋体" w:cs="宋体"/>
          <w:bCs/>
          <w:color w:val="auto"/>
          <w:sz w:val="21"/>
          <w:szCs w:val="21"/>
          <w:highlight w:val="none"/>
        </w:rPr>
        <w:t>要求</w:t>
      </w:r>
      <w:r>
        <w:rPr>
          <w:rFonts w:hint="eastAsia" w:ascii="宋体" w:hAnsi="宋体" w:eastAsia="宋体" w:cs="宋体"/>
          <w:bCs/>
          <w:color w:val="auto"/>
          <w:sz w:val="21"/>
          <w:szCs w:val="21"/>
          <w:highlight w:val="none"/>
          <w:lang w:val="en-US" w:eastAsia="zh-CN"/>
        </w:rPr>
        <w:t>进行</w:t>
      </w:r>
      <w:r>
        <w:rPr>
          <w:rFonts w:hint="eastAsia" w:ascii="宋体" w:hAnsi="宋体" w:eastAsia="宋体" w:cs="宋体"/>
          <w:bCs/>
          <w:color w:val="auto"/>
          <w:sz w:val="21"/>
          <w:szCs w:val="21"/>
          <w:highlight w:val="none"/>
        </w:rPr>
        <w:t>采购，如不符合要求，须按甲方要求更换。如乙方因违反本条约定导致卫生安全事件的，全部责任需由乙方承担。</w:t>
      </w:r>
    </w:p>
    <w:p w14:paraId="17C6418E">
      <w:pPr>
        <w:spacing w:before="120" w:line="35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（16）</w:t>
      </w:r>
      <w:r>
        <w:rPr>
          <w:rFonts w:hint="eastAsia" w:ascii="宋体" w:hAnsi="宋体" w:eastAsia="宋体" w:cs="宋体"/>
          <w:bCs/>
          <w:color w:val="auto"/>
          <w:sz w:val="21"/>
          <w:szCs w:val="21"/>
          <w:highlight w:val="none"/>
        </w:rPr>
        <w:t>在遇到疫情、火灾、停电、停水等影响乙方不能正常生产的情况时，双方应当及时通知对方，</w:t>
      </w:r>
      <w:r>
        <w:rPr>
          <w:rFonts w:hint="eastAsia" w:ascii="宋体" w:hAnsi="宋体" w:eastAsia="宋体" w:cs="宋体"/>
          <w:bCs/>
          <w:color w:val="auto"/>
          <w:sz w:val="21"/>
          <w:szCs w:val="21"/>
          <w:highlight w:val="none"/>
          <w:lang w:val="en-US" w:eastAsia="zh-CN"/>
        </w:rPr>
        <w:t>加强沟通协调</w:t>
      </w:r>
      <w:r>
        <w:rPr>
          <w:rFonts w:hint="eastAsia" w:ascii="宋体" w:hAnsi="宋体" w:eastAsia="宋体" w:cs="宋体"/>
          <w:bCs/>
          <w:color w:val="auto"/>
          <w:sz w:val="21"/>
          <w:szCs w:val="21"/>
          <w:highlight w:val="none"/>
        </w:rPr>
        <w:t>，及时采取补救措施，以保证正常供餐。</w:t>
      </w:r>
    </w:p>
    <w:p w14:paraId="29F16201">
      <w:pPr>
        <w:spacing w:before="120" w:line="35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（17）</w:t>
      </w:r>
      <w:r>
        <w:rPr>
          <w:rFonts w:hint="eastAsia" w:ascii="宋体" w:hAnsi="宋体" w:eastAsia="宋体" w:cs="宋体"/>
          <w:bCs/>
          <w:color w:val="auto"/>
          <w:sz w:val="21"/>
          <w:szCs w:val="21"/>
          <w:highlight w:val="none"/>
        </w:rPr>
        <w:t>乙方在管辖范围内全面负责其营运及人员的安全，同时乙方应保证遵守并执行相关法律法规及公司的安全规定。</w:t>
      </w:r>
    </w:p>
    <w:p w14:paraId="61AC8A8A">
      <w:pPr>
        <w:spacing w:before="120" w:line="350" w:lineRule="exact"/>
        <w:ind w:firstLine="420" w:firstLineChars="200"/>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lang w:val="en-US" w:eastAsia="zh-CN"/>
        </w:rPr>
        <w:t>（18）</w:t>
      </w:r>
      <w:r>
        <w:rPr>
          <w:rFonts w:hint="eastAsia" w:ascii="宋体" w:hAnsi="宋体" w:eastAsia="宋体" w:cs="宋体"/>
          <w:bCs/>
          <w:color w:val="auto"/>
          <w:sz w:val="21"/>
          <w:szCs w:val="21"/>
          <w:highlight w:val="none"/>
          <w:shd w:val="clear" w:color="auto" w:fill="auto"/>
        </w:rPr>
        <w:t>乙方确认，所有参与本合同的供餐人员或其他人员全部由乙方直接聘用，并承担所有聘用人员的薪金、保险、福利。本合同不包含任何理解为甲方与乙方员工之间存在劳动合同关系的内容；因工伤、违法用工、劳资纠纷、侵权赔偿等导致的法律责任均由乙方独立承担。</w:t>
      </w:r>
    </w:p>
    <w:p w14:paraId="51B2355D">
      <w:pPr>
        <w:spacing w:before="120" w:line="350" w:lineRule="exact"/>
        <w:ind w:firstLine="420" w:firstLineChars="200"/>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lang w:val="en-US" w:eastAsia="zh-CN"/>
        </w:rPr>
        <w:t>（19）</w:t>
      </w:r>
      <w:r>
        <w:rPr>
          <w:rFonts w:hint="eastAsia" w:ascii="宋体" w:hAnsi="宋体" w:eastAsia="宋体" w:cs="宋体"/>
          <w:bCs/>
          <w:color w:val="auto"/>
          <w:sz w:val="21"/>
          <w:szCs w:val="21"/>
          <w:highlight w:val="none"/>
          <w:shd w:val="clear" w:color="auto" w:fill="auto"/>
        </w:rPr>
        <w:t>乙方派驻甲方的人员必须遵守和执行甲方的有关规章制度和行为准则，乙方人员违反相关规定的，产生的不利后果由乙方自行承担。因乙方人员行为给甲方或第三方造成损失的，乙方应承担赔偿责任。</w:t>
      </w:r>
    </w:p>
    <w:p w14:paraId="7F5CACC0">
      <w:pPr>
        <w:spacing w:before="120" w:line="350" w:lineRule="exact"/>
        <w:ind w:firstLine="420" w:firstLineChars="200"/>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lang w:val="en-US" w:eastAsia="zh-CN"/>
        </w:rPr>
        <w:t>（20）</w:t>
      </w:r>
      <w:r>
        <w:rPr>
          <w:rFonts w:hint="eastAsia" w:ascii="宋体" w:hAnsi="宋体" w:eastAsia="宋体" w:cs="宋体"/>
          <w:bCs/>
          <w:color w:val="auto"/>
          <w:sz w:val="21"/>
          <w:szCs w:val="21"/>
          <w:highlight w:val="none"/>
          <w:shd w:val="clear" w:color="auto" w:fill="auto"/>
        </w:rPr>
        <w:t>乙方负责餐厅的运营服务，按合同约定为甲方人员提供每日早餐、中餐、晚餐，根据甲方要求提供节假日用餐及相关服务。</w:t>
      </w:r>
    </w:p>
    <w:p w14:paraId="632405B3">
      <w:pPr>
        <w:spacing w:before="120" w:line="350" w:lineRule="exact"/>
        <w:ind w:firstLine="420" w:firstLineChars="200"/>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lang w:val="en-US" w:eastAsia="zh-CN"/>
        </w:rPr>
        <w:t>（21）</w:t>
      </w:r>
      <w:r>
        <w:rPr>
          <w:rFonts w:hint="eastAsia" w:ascii="宋体" w:hAnsi="宋体" w:eastAsia="宋体" w:cs="宋体"/>
          <w:bCs/>
          <w:color w:val="auto"/>
          <w:sz w:val="21"/>
          <w:szCs w:val="21"/>
          <w:highlight w:val="none"/>
          <w:shd w:val="clear" w:color="auto" w:fill="auto"/>
        </w:rPr>
        <w:t>乙方负责主副食品原材料的采购、运输、贮存、加工制作，厨房低值易耗品及清洁用品的补给。乙方必须保证所有食材及辅料、调味品是通过正规渠道采购并符合国家相关部门的要求和相关标准，确保所采购的食品原材料新鲜、安全、有相关检验检疫证明，可溯源；乙方所用食材均不得采用转基因产品。</w:t>
      </w:r>
    </w:p>
    <w:p w14:paraId="2B6B58EA">
      <w:pPr>
        <w:spacing w:before="120" w:line="350" w:lineRule="exact"/>
        <w:ind w:firstLine="420" w:firstLineChars="200"/>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lang w:val="en-US" w:eastAsia="zh-CN"/>
        </w:rPr>
        <w:t>（22）</w:t>
      </w:r>
      <w:r>
        <w:rPr>
          <w:rFonts w:hint="eastAsia" w:ascii="宋体" w:hAnsi="宋体" w:eastAsia="宋体" w:cs="宋体"/>
          <w:bCs/>
          <w:color w:val="auto"/>
          <w:sz w:val="21"/>
          <w:szCs w:val="21"/>
          <w:highlight w:val="none"/>
          <w:shd w:val="clear" w:color="auto" w:fill="auto"/>
        </w:rPr>
        <w:t>乙方进驻时应清点甲方配置的设备和设施并制作清单，经甲方签字确认进行交接；终止合同后，除自然损耗外，上述设备设施乙方应如数完好交还甲方，因为乙方的原因造成甲方设备和设施损坏的，乙方应承担维修费用；损毁严重致无法维修的，乙方应为甲方重置新设备。</w:t>
      </w:r>
    </w:p>
    <w:p w14:paraId="353F49BB">
      <w:pPr>
        <w:spacing w:before="120" w:line="350" w:lineRule="exact"/>
        <w:ind w:firstLine="420" w:firstLineChars="200"/>
        <w:rPr>
          <w:rFonts w:hint="eastAsia" w:ascii="宋体" w:hAnsi="宋体" w:eastAsia="宋体" w:cs="宋体"/>
          <w:bCs/>
          <w:color w:val="auto"/>
          <w:sz w:val="21"/>
          <w:szCs w:val="21"/>
          <w:highlight w:val="none"/>
          <w:shd w:val="clear" w:color="auto" w:fill="auto"/>
          <w:lang w:val="en-US" w:eastAsia="zh-CN"/>
        </w:rPr>
      </w:pPr>
      <w:r>
        <w:rPr>
          <w:rFonts w:hint="eastAsia" w:ascii="宋体" w:hAnsi="宋体" w:eastAsia="宋体" w:cs="宋体"/>
          <w:bCs/>
          <w:color w:val="auto"/>
          <w:sz w:val="21"/>
          <w:szCs w:val="21"/>
          <w:highlight w:val="none"/>
          <w:shd w:val="clear" w:color="auto" w:fill="auto"/>
          <w:lang w:val="en-US" w:eastAsia="zh-CN"/>
        </w:rPr>
        <w:t>（23）</w:t>
      </w:r>
      <w:r>
        <w:rPr>
          <w:rFonts w:hint="eastAsia" w:ascii="宋体" w:hAnsi="宋体" w:eastAsia="宋体" w:cs="宋体"/>
          <w:bCs/>
          <w:color w:val="auto"/>
          <w:sz w:val="21"/>
          <w:szCs w:val="21"/>
          <w:highlight w:val="none"/>
          <w:shd w:val="clear" w:color="auto" w:fill="auto"/>
        </w:rPr>
        <w:t>乙方对餐厅内的设施适时进行维修保养，设备维修、更新及硬件改造</w:t>
      </w:r>
      <w:r>
        <w:rPr>
          <w:rFonts w:hint="eastAsia" w:ascii="宋体" w:hAnsi="宋体" w:eastAsia="宋体" w:cs="宋体"/>
          <w:bCs/>
          <w:color w:val="auto"/>
          <w:sz w:val="21"/>
          <w:szCs w:val="21"/>
          <w:highlight w:val="none"/>
          <w:shd w:val="clear" w:color="auto" w:fill="auto"/>
          <w:lang w:val="en-US" w:eastAsia="zh-CN"/>
        </w:rPr>
        <w:t>等均上报到甲方，经甲方同意后方可施工。</w:t>
      </w:r>
    </w:p>
    <w:p w14:paraId="1E8500EC">
      <w:pPr>
        <w:spacing w:before="120" w:line="35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shd w:val="clear" w:color="auto" w:fill="auto"/>
          <w:lang w:val="en-US" w:eastAsia="zh-CN"/>
        </w:rPr>
        <w:t>（24）乙方需按甲方要求执行“八项规定”内容，在公务接待餐中，不得提供烟酒及高档菜肴。</w:t>
      </w:r>
    </w:p>
    <w:p w14:paraId="5C7A45C9">
      <w:pPr>
        <w:spacing w:before="120" w:line="350" w:lineRule="exact"/>
        <w:ind w:firstLine="422" w:firstLineChars="20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第六条食品卫生及质量要求</w:t>
      </w:r>
    </w:p>
    <w:p w14:paraId="7AC86F04">
      <w:pPr>
        <w:spacing w:before="120" w:line="350" w:lineRule="exact"/>
        <w:ind w:firstLine="422"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乙方应遵守执行食品留样制度（每餐保存48小时），当就餐人员用餐后出现腹泻、呕吐、头晕等中毒现象时，乙方应在第一时间将患者送往医院、做呕吐物、粪便留样化验，以确诊病情和病因。同时，将餐厅的留样食品送交卫生部门检验，确属乙方责任的，乙方应承担由此引发的一切责任。甲方因食品安全受到相关政府部门的任何行政处罚，经核实属乙方责任的，乙方应当按罚款金额的双倍赔偿甲方因此遭受的损失，没有罚款的应向甲方一次性支付违约金3000元。</w:t>
      </w:r>
    </w:p>
    <w:p w14:paraId="39EBBF84">
      <w:pPr>
        <w:numPr>
          <w:ilvl w:val="0"/>
          <w:numId w:val="0"/>
        </w:numPr>
        <w:spacing w:before="120" w:line="35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2.保证食品质量</w:t>
      </w:r>
    </w:p>
    <w:p w14:paraId="1DE0F5FB">
      <w:pPr>
        <w:widowControl w:val="0"/>
        <w:numPr>
          <w:ilvl w:val="0"/>
          <w:numId w:val="0"/>
        </w:numPr>
        <w:spacing w:before="120" w:line="35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乙方在食品采购、加工、制作、存储、运送、售卖等环节严格按照国家和北京市餐饮相关法律法规和行业标准，杜绝发生一切食品安全、消防安全、人员和设备安全等各类事故。</w:t>
      </w:r>
    </w:p>
    <w:p w14:paraId="50F0EF79">
      <w:pPr>
        <w:widowControl w:val="0"/>
        <w:numPr>
          <w:ilvl w:val="0"/>
          <w:numId w:val="0"/>
        </w:numPr>
        <w:spacing w:before="120" w:line="35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（2）食堂出售的食品，严格从食材、人员、加工流程、销售等各个方面把关，保证食品质量安全性。</w:t>
      </w:r>
    </w:p>
    <w:p w14:paraId="7A5EF1CD">
      <w:pPr>
        <w:widowControl w:val="0"/>
        <w:numPr>
          <w:ilvl w:val="0"/>
          <w:numId w:val="0"/>
        </w:numPr>
        <w:spacing w:before="120" w:line="350" w:lineRule="exact"/>
        <w:ind w:firstLine="420" w:firstLineChars="20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（3）加工与储存做到生、熟、半成品的分开，杜绝出现食材混放现象。</w:t>
      </w:r>
    </w:p>
    <w:p w14:paraId="210E1AA0">
      <w:pPr>
        <w:pStyle w:val="66"/>
        <w:shd w:val="clear" w:color="auto" w:fill="FFFFFF"/>
        <w:spacing w:before="240" w:beforeAutospacing="0" w:after="120" w:afterAutospacing="0" w:line="350" w:lineRule="exact"/>
        <w:ind w:firstLine="422" w:firstLineChars="200"/>
        <w:outlineLvl w:val="0"/>
        <w:rPr>
          <w:rFonts w:hint="eastAsia" w:ascii="宋体" w:hAnsi="宋体" w:eastAsia="宋体" w:cs="宋体"/>
          <w:b/>
          <w:color w:val="auto"/>
          <w:sz w:val="21"/>
          <w:szCs w:val="21"/>
          <w:highlight w:val="none"/>
        </w:rPr>
      </w:pPr>
      <w:bookmarkStart w:id="76" w:name="_Toc428694202"/>
      <w:bookmarkStart w:id="77" w:name="_Toc492818972"/>
      <w:r>
        <w:rPr>
          <w:rFonts w:hint="eastAsia" w:ascii="宋体" w:hAnsi="宋体" w:eastAsia="宋体" w:cs="宋体"/>
          <w:b/>
          <w:color w:val="auto"/>
          <w:sz w:val="21"/>
          <w:szCs w:val="21"/>
          <w:highlight w:val="none"/>
        </w:rPr>
        <w:t>第七条  保证金</w:t>
      </w:r>
      <w:bookmarkEnd w:id="76"/>
      <w:bookmarkEnd w:id="77"/>
    </w:p>
    <w:p w14:paraId="15812448">
      <w:pPr>
        <w:spacing w:before="120" w:line="350" w:lineRule="exact"/>
        <w:ind w:firstLine="630" w:firstLineChars="300"/>
        <w:rPr>
          <w:rFonts w:hint="eastAsia" w:ascii="宋体" w:hAnsi="宋体" w:eastAsia="宋体" w:cs="宋体"/>
          <w:b/>
          <w:bCs w:val="0"/>
          <w:color w:val="auto"/>
          <w:sz w:val="21"/>
          <w:szCs w:val="21"/>
          <w:highlight w:val="none"/>
          <w:lang w:val="en-US" w:eastAsia="zh-CN"/>
        </w:rPr>
      </w:pPr>
      <w:r>
        <w:rPr>
          <w:rFonts w:hint="eastAsia" w:ascii="宋体" w:hAnsi="宋体" w:eastAsia="宋体" w:cs="宋体"/>
          <w:bCs/>
          <w:color w:val="auto"/>
          <w:sz w:val="21"/>
          <w:szCs w:val="21"/>
          <w:highlight w:val="none"/>
        </w:rPr>
        <w:t>在本合同签订后3个工作日内，乙方应向甲方缴纳人民币</w:t>
      </w:r>
      <w:r>
        <w:rPr>
          <w:rFonts w:hint="eastAsia" w:ascii="宋体" w:hAnsi="宋体" w:eastAsia="宋体" w:cs="宋体"/>
          <w:bCs/>
          <w:color w:val="auto"/>
          <w:sz w:val="21"/>
          <w:szCs w:val="21"/>
          <w:highlight w:val="none"/>
          <w:lang w:val="en-US" w:eastAsia="zh-CN"/>
        </w:rPr>
        <w:t>叁</w:t>
      </w:r>
      <w:r>
        <w:rPr>
          <w:rFonts w:hint="eastAsia" w:ascii="宋体" w:hAnsi="宋体" w:eastAsia="宋体" w:cs="宋体"/>
          <w:bCs/>
          <w:color w:val="auto"/>
          <w:sz w:val="21"/>
          <w:szCs w:val="21"/>
          <w:highlight w:val="none"/>
        </w:rPr>
        <w:t>拾万元整（￥</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00000.00）作为履约保证金。在本合同终止时，乙方必须撤出供餐地，并归还甲方的设施设备及器具，乙方所提供的供餐设备应同时撤出。双方交接完成后，如乙方未发生违约情形，甲方应于10个工作日内向乙方退还剩余的保证金。</w:t>
      </w:r>
    </w:p>
    <w:p w14:paraId="7638C814">
      <w:pPr>
        <w:numPr>
          <w:ilvl w:val="0"/>
          <w:numId w:val="12"/>
        </w:numPr>
        <w:spacing w:before="120" w:line="350" w:lineRule="exact"/>
        <w:ind w:firstLine="422" w:firstLineChars="200"/>
        <w:rPr>
          <w:rFonts w:hint="eastAsia" w:ascii="宋体" w:hAnsi="宋体" w:eastAsia="宋体" w:cs="宋体"/>
          <w:b/>
          <w:color w:val="auto"/>
          <w:sz w:val="21"/>
          <w:szCs w:val="21"/>
          <w:highlight w:val="none"/>
        </w:rPr>
      </w:pPr>
      <w:bookmarkStart w:id="78" w:name="_Toc428694203"/>
      <w:bookmarkStart w:id="79" w:name="_Toc492818973"/>
      <w:r>
        <w:rPr>
          <w:rFonts w:hint="eastAsia" w:ascii="宋体" w:hAnsi="宋体" w:eastAsia="宋体" w:cs="宋体"/>
          <w:b/>
          <w:color w:val="auto"/>
          <w:sz w:val="21"/>
          <w:szCs w:val="21"/>
          <w:highlight w:val="none"/>
        </w:rPr>
        <w:t xml:space="preserve"> 违约责任</w:t>
      </w:r>
      <w:bookmarkEnd w:id="78"/>
      <w:bookmarkEnd w:id="79"/>
    </w:p>
    <w:p w14:paraId="633C17D1">
      <w:pPr>
        <w:spacing w:before="120" w:line="35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1.双方均不得无故自行要求变更或解除本合同。如任何一方违反本合同约定，擅自解除本合同，应由违约方向守约方赔偿经济损失。</w:t>
      </w:r>
    </w:p>
    <w:p w14:paraId="3780845E">
      <w:pPr>
        <w:spacing w:before="120" w:line="35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2.乙方的经营活动须遵守中华人民共和国及北京市的有关法律法规。任何违反有关法律法规的行为，均由乙方自行承担责任。若因此给甲方造成损失的，乙方应承担赔偿责任。</w:t>
      </w:r>
    </w:p>
    <w:p w14:paraId="3369EA89">
      <w:pPr>
        <w:spacing w:before="120" w:line="35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.在本合同有效期内，若出现下列情况之一，甲方可单方面终止本合同，乙方应在本合同终止的次日完全撤出本项目：</w:t>
      </w:r>
    </w:p>
    <w:p w14:paraId="3BB41698">
      <w:pPr>
        <w:spacing w:before="120" w:line="35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（1）因乙方过错造成本项目区域发生火灾等重大责任事故。</w:t>
      </w:r>
    </w:p>
    <w:p w14:paraId="63A58CD9">
      <w:pPr>
        <w:spacing w:before="120" w:line="35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（2）因乙方提供的食品导致用餐人员出现食物中毒事件。</w:t>
      </w:r>
    </w:p>
    <w:p w14:paraId="21127318">
      <w:pPr>
        <w:spacing w:before="120" w:line="35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（3）因乙方过错给甲方造成经济损失，金额达10000元以上的。</w:t>
      </w:r>
    </w:p>
    <w:p w14:paraId="5E58BF86">
      <w:pPr>
        <w:spacing w:before="120" w:line="35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（4）因乙方原因导致媒体对甲方的负面报道，或乙方存在其他给甲方声誉造成负面影响的行为。</w:t>
      </w:r>
    </w:p>
    <w:p w14:paraId="2A2A1B1C">
      <w:pPr>
        <w:spacing w:before="120" w:line="35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）乙方内部重组或股份转让以及其他原因导致破产或无法继续履行本合同约定的义务。</w:t>
      </w:r>
    </w:p>
    <w:p w14:paraId="41E1DC99">
      <w:pPr>
        <w:spacing w:before="120" w:line="35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）合同附件规定的甲方有权终止本合同的情形。</w:t>
      </w:r>
    </w:p>
    <w:p w14:paraId="30901C14">
      <w:pPr>
        <w:spacing w:before="120" w:line="35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本合同附件之《乙方服务规范及考核表》为本合同违约责任条款的有效组成部分，违反该附件的规定亦视为违约，按该附件的规定处理。如本合同和附件对乙方的同一违约（违规）行为重复处罚，甲方有权决定选择适用任一条款。</w:t>
      </w:r>
    </w:p>
    <w:p w14:paraId="2B6A3915">
      <w:pPr>
        <w:pStyle w:val="66"/>
        <w:shd w:val="clear" w:color="auto" w:fill="FFFFFF"/>
        <w:spacing w:before="240" w:beforeAutospacing="0" w:after="120" w:afterAutospacing="0" w:line="350" w:lineRule="exact"/>
        <w:ind w:firstLine="422" w:firstLineChars="200"/>
        <w:outlineLvl w:val="0"/>
        <w:rPr>
          <w:rFonts w:hint="eastAsia" w:ascii="宋体" w:hAnsi="宋体" w:eastAsia="宋体" w:cs="宋体"/>
          <w:b/>
          <w:color w:val="auto"/>
          <w:sz w:val="21"/>
          <w:szCs w:val="21"/>
          <w:highlight w:val="none"/>
        </w:rPr>
      </w:pPr>
      <w:bookmarkStart w:id="80" w:name="_Toc492818974"/>
      <w:r>
        <w:rPr>
          <w:rFonts w:hint="eastAsia" w:ascii="宋体" w:hAnsi="宋体" w:eastAsia="宋体" w:cs="宋体"/>
          <w:b/>
          <w:color w:val="auto"/>
          <w:sz w:val="21"/>
          <w:szCs w:val="21"/>
          <w:highlight w:val="none"/>
        </w:rPr>
        <w:t xml:space="preserve">第九条  </w:t>
      </w:r>
      <w:bookmarkEnd w:id="80"/>
      <w:bookmarkStart w:id="81" w:name="_Toc428694204"/>
      <w:bookmarkStart w:id="82" w:name="_Toc492818975"/>
      <w:r>
        <w:rPr>
          <w:rFonts w:hint="eastAsia" w:ascii="宋体" w:hAnsi="宋体" w:eastAsia="宋体" w:cs="宋体"/>
          <w:b/>
          <w:color w:val="auto"/>
          <w:sz w:val="21"/>
          <w:szCs w:val="21"/>
          <w:highlight w:val="none"/>
        </w:rPr>
        <w:t>合同的效力</w:t>
      </w:r>
      <w:bookmarkEnd w:id="81"/>
      <w:bookmarkEnd w:id="82"/>
    </w:p>
    <w:p w14:paraId="27F82918">
      <w:pPr>
        <w:spacing w:before="120" w:line="35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1.本合同自双方授权代表签字盖章后生效。</w:t>
      </w:r>
    </w:p>
    <w:p w14:paraId="22B4A588">
      <w:pPr>
        <w:spacing w:before="120" w:line="35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乙方前期对食堂进行装修，本次合同期</w:t>
      </w:r>
      <w:r>
        <w:rPr>
          <w:rFonts w:hint="eastAsia" w:ascii="宋体" w:hAnsi="宋体" w:eastAsia="宋体" w:cs="宋体"/>
          <w:bCs/>
          <w:color w:val="auto"/>
          <w:sz w:val="21"/>
          <w:szCs w:val="21"/>
          <w:highlight w:val="none"/>
        </w:rPr>
        <w:t>自</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日至</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日止。</w:t>
      </w:r>
    </w:p>
    <w:p w14:paraId="3CC58DD6">
      <w:pPr>
        <w:tabs>
          <w:tab w:val="left" w:pos="462"/>
        </w:tabs>
        <w:spacing w:before="120" w:line="35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3.乙方前期对食堂的装修纯属自愿，装修所产生费用和甲方无关。</w:t>
      </w:r>
    </w:p>
    <w:p w14:paraId="30D1D622">
      <w:pPr>
        <w:tabs>
          <w:tab w:val="left" w:pos="462"/>
        </w:tabs>
        <w:spacing w:before="120" w:line="35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4.甲方每年对乙方进行一次考核。</w:t>
      </w:r>
    </w:p>
    <w:p w14:paraId="49553DD2">
      <w:pPr>
        <w:tabs>
          <w:tab w:val="left" w:pos="462"/>
        </w:tabs>
        <w:spacing w:before="120" w:line="35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.本合同的附件为本合同不可分割的组成部分，与本合同具有同等效力。</w:t>
      </w:r>
    </w:p>
    <w:p w14:paraId="25A75C37">
      <w:pPr>
        <w:spacing w:before="120" w:line="35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.如修改本合同，须经双方授权代表签署书面补充文件；双方签署的补充文件为合同的附件，与本合同具有同等法律效力。</w:t>
      </w:r>
    </w:p>
    <w:p w14:paraId="6095D23E">
      <w:pPr>
        <w:spacing w:before="120" w:line="350" w:lineRule="exact"/>
        <w:ind w:firstLine="420" w:firstLineChars="200"/>
        <w:rPr>
          <w:rFonts w:hint="eastAsia" w:ascii="宋体" w:hAnsi="宋体" w:eastAsia="宋体" w:cs="宋体"/>
          <w:bCs/>
          <w:color w:val="auto"/>
          <w:sz w:val="21"/>
          <w:szCs w:val="21"/>
          <w:highlight w:val="none"/>
          <w:shd w:val="clear" w:color="auto" w:fill="auto"/>
          <w:lang w:val="en-US" w:eastAsia="zh-CN"/>
        </w:rPr>
      </w:pPr>
      <w:r>
        <w:rPr>
          <w:rFonts w:hint="eastAsia" w:ascii="宋体" w:hAnsi="宋体" w:eastAsia="宋体" w:cs="宋体"/>
          <w:bCs/>
          <w:color w:val="auto"/>
          <w:sz w:val="21"/>
          <w:szCs w:val="21"/>
          <w:highlight w:val="none"/>
          <w:shd w:val="clear" w:color="auto" w:fill="auto"/>
          <w:lang w:val="en-US" w:eastAsia="zh-CN"/>
        </w:rPr>
        <w:t>7.服务周期为三年，起止时间为  年 月 日起至   年  月   日止。</w:t>
      </w:r>
    </w:p>
    <w:p w14:paraId="55B372AE">
      <w:pPr>
        <w:spacing w:before="120" w:line="350" w:lineRule="exact"/>
        <w:ind w:firstLine="420" w:firstLineChars="200"/>
        <w:rPr>
          <w:rFonts w:hint="eastAsia" w:ascii="宋体" w:hAnsi="宋体" w:eastAsia="宋体" w:cs="宋体"/>
          <w:bCs/>
          <w:color w:val="auto"/>
          <w:sz w:val="21"/>
          <w:szCs w:val="21"/>
          <w:highlight w:val="none"/>
          <w:shd w:val="clear" w:color="auto" w:fill="auto"/>
          <w:lang w:val="en-US" w:eastAsia="zh-CN"/>
        </w:rPr>
      </w:pPr>
      <w:r>
        <w:rPr>
          <w:rFonts w:hint="eastAsia" w:ascii="宋体" w:hAnsi="宋体" w:eastAsia="宋体" w:cs="宋体"/>
          <w:bCs/>
          <w:color w:val="auto"/>
          <w:sz w:val="21"/>
          <w:szCs w:val="21"/>
          <w:highlight w:val="none"/>
          <w:shd w:val="clear" w:color="auto" w:fill="auto"/>
          <w:lang w:val="en-US" w:eastAsia="zh-CN"/>
        </w:rPr>
        <w:t>8.对于合同服务期内考核成绩为良好及以上的继续服务，如果在合同期内考核成绩为合格及不合格的，根据甲方要求进行限期1个月整改，经甲方再次考核，考核成绩达到良好及以上的可继续服务，如再次考核成绩为合格及不合格的，甲方有权终止合同。</w:t>
      </w:r>
    </w:p>
    <w:p w14:paraId="0967E69E">
      <w:pPr>
        <w:spacing w:before="120" w:line="35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.乙方必须在本合同届满后保持正常的供餐服务，期间的餐饮服务费用按合同有效期内的标准计算，直至新的服务方进入接收完毕为止。</w:t>
      </w:r>
    </w:p>
    <w:p w14:paraId="24C80C6C">
      <w:pPr>
        <w:pStyle w:val="66"/>
        <w:shd w:val="clear" w:color="auto" w:fill="FFFFFF"/>
        <w:spacing w:before="240" w:beforeAutospacing="0" w:after="120" w:afterAutospacing="0" w:line="350" w:lineRule="exact"/>
        <w:ind w:firstLine="422" w:firstLineChars="200"/>
        <w:outlineLvl w:val="0"/>
        <w:rPr>
          <w:rFonts w:hint="eastAsia" w:ascii="宋体" w:hAnsi="宋体" w:eastAsia="宋体" w:cs="宋体"/>
          <w:b/>
          <w:color w:val="auto"/>
          <w:sz w:val="21"/>
          <w:szCs w:val="21"/>
          <w:highlight w:val="none"/>
        </w:rPr>
      </w:pPr>
      <w:bookmarkStart w:id="83" w:name="_Toc492818976"/>
      <w:bookmarkStart w:id="84" w:name="_Toc428694205"/>
      <w:r>
        <w:rPr>
          <w:rFonts w:hint="eastAsia" w:ascii="宋体" w:hAnsi="宋体" w:eastAsia="宋体" w:cs="宋体"/>
          <w:b/>
          <w:color w:val="auto"/>
          <w:sz w:val="21"/>
          <w:szCs w:val="21"/>
          <w:highlight w:val="none"/>
        </w:rPr>
        <w:t>第十条  其他</w:t>
      </w:r>
      <w:bookmarkEnd w:id="83"/>
      <w:bookmarkEnd w:id="84"/>
    </w:p>
    <w:p w14:paraId="54ACAA1A">
      <w:pPr>
        <w:spacing w:before="120" w:line="35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1.本合同一式肆份，甲乙双方各持两份，具有同等法律效力。</w:t>
      </w:r>
    </w:p>
    <w:p w14:paraId="5B42190E">
      <w:pPr>
        <w:spacing w:before="120" w:line="35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2.甲乙双方因本合同发生纠纷，双方应协商解决，协商不成的，任何一方均可向本合同履行地（北京市海淀区）的人民法院提起诉讼。</w:t>
      </w:r>
    </w:p>
    <w:p w14:paraId="3EB2E644">
      <w:pPr>
        <w:spacing w:before="120" w:line="35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3.若本合同的部分条款根据法律规定成为无效或不能执行的，则本合同其他条款的有效性、合法性和可执行性不受影响，在不影响整体合同继续履行的前提下，任何一方不得以此为理由拒绝履行该合同其他条款。</w:t>
      </w:r>
    </w:p>
    <w:p w14:paraId="3901354A">
      <w:pPr>
        <w:spacing w:line="350" w:lineRule="exact"/>
        <w:ind w:left="76" w:leftChars="36"/>
        <w:rPr>
          <w:rFonts w:hint="eastAsia" w:ascii="宋体" w:hAnsi="宋体" w:eastAsia="宋体" w:cs="宋体"/>
          <w:b/>
          <w:color w:val="auto"/>
          <w:sz w:val="21"/>
          <w:szCs w:val="21"/>
          <w:highlight w:val="none"/>
        </w:rPr>
      </w:pPr>
    </w:p>
    <w:p w14:paraId="0786E731">
      <w:pPr>
        <w:numPr>
          <w:ilvl w:val="0"/>
          <w:numId w:val="0"/>
        </w:numPr>
        <w:spacing w:line="350" w:lineRule="exact"/>
        <w:ind w:firstLine="420" w:firstLineChars="200"/>
        <w:rPr>
          <w:rFonts w:hint="eastAsia" w:ascii="宋体" w:hAnsi="宋体" w:eastAsia="宋体" w:cs="宋体"/>
          <w:color w:val="auto"/>
          <w:sz w:val="21"/>
          <w:szCs w:val="21"/>
          <w:highlight w:val="none"/>
          <w:lang w:val="en-US" w:eastAsia="zh-CN"/>
        </w:rPr>
      </w:pPr>
    </w:p>
    <w:p w14:paraId="1DD24C20">
      <w:pPr>
        <w:numPr>
          <w:ilvl w:val="0"/>
          <w:numId w:val="0"/>
        </w:numPr>
        <w:spacing w:line="350" w:lineRule="exact"/>
        <w:ind w:firstLine="420" w:firstLineChars="200"/>
        <w:rPr>
          <w:rFonts w:hint="eastAsia" w:ascii="宋体" w:hAnsi="宋体" w:eastAsia="宋体" w:cs="宋体"/>
          <w:color w:val="auto"/>
          <w:sz w:val="21"/>
          <w:szCs w:val="21"/>
          <w:highlight w:val="none"/>
          <w:lang w:val="en-US" w:eastAsia="zh-CN"/>
        </w:rPr>
      </w:pPr>
    </w:p>
    <w:p w14:paraId="154490D0">
      <w:pPr>
        <w:pStyle w:val="66"/>
        <w:shd w:val="clear" w:color="auto" w:fill="FFFFFF"/>
        <w:spacing w:before="0" w:beforeAutospacing="0" w:after="0" w:afterAutospacing="0" w:line="350" w:lineRule="exact"/>
        <w:jc w:val="center"/>
        <w:outlineLvl w:val="0"/>
        <w:rPr>
          <w:rFonts w:hint="eastAsia" w:ascii="宋体" w:hAnsi="宋体" w:eastAsia="宋体" w:cs="宋体"/>
          <w:b/>
          <w:color w:val="auto"/>
          <w:sz w:val="21"/>
          <w:szCs w:val="21"/>
          <w:highlight w:val="none"/>
        </w:rPr>
      </w:pPr>
    </w:p>
    <w:p w14:paraId="68E053EA">
      <w:pPr>
        <w:spacing w:line="35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甲方（盖章）：</w:t>
      </w:r>
      <w:r>
        <w:rPr>
          <w:rFonts w:hint="eastAsia" w:ascii="宋体" w:hAnsi="宋体" w:eastAsia="宋体" w:cs="宋体"/>
          <w:color w:val="auto"/>
          <w:sz w:val="21"/>
          <w:szCs w:val="21"/>
          <w:highlight w:val="none"/>
          <w:u w:val="single"/>
        </w:rPr>
        <w:t xml:space="preserve">                                </w:t>
      </w:r>
    </w:p>
    <w:p w14:paraId="55457FE8">
      <w:pPr>
        <w:spacing w:line="350" w:lineRule="exact"/>
        <w:ind w:firstLine="420" w:firstLineChars="200"/>
        <w:rPr>
          <w:rFonts w:hint="eastAsia" w:ascii="宋体" w:hAnsi="宋体" w:eastAsia="宋体" w:cs="宋体"/>
          <w:color w:val="auto"/>
          <w:sz w:val="21"/>
          <w:szCs w:val="21"/>
          <w:highlight w:val="none"/>
        </w:rPr>
      </w:pPr>
    </w:p>
    <w:p w14:paraId="784EAC90">
      <w:pPr>
        <w:spacing w:line="35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法定代表人（或授权代表）签字：</w:t>
      </w:r>
      <w:r>
        <w:rPr>
          <w:rFonts w:hint="eastAsia" w:ascii="宋体" w:hAnsi="宋体" w:eastAsia="宋体" w:cs="宋体"/>
          <w:color w:val="auto"/>
          <w:sz w:val="21"/>
          <w:szCs w:val="21"/>
          <w:highlight w:val="none"/>
          <w:u w:val="single"/>
        </w:rPr>
        <w:t xml:space="preserve">               </w:t>
      </w:r>
    </w:p>
    <w:p w14:paraId="1888B8CA">
      <w:pPr>
        <w:spacing w:line="350" w:lineRule="exact"/>
        <w:ind w:firstLine="420" w:firstLineChars="200"/>
        <w:rPr>
          <w:rFonts w:hint="eastAsia" w:ascii="宋体" w:hAnsi="宋体" w:eastAsia="宋体" w:cs="宋体"/>
          <w:color w:val="auto"/>
          <w:sz w:val="21"/>
          <w:szCs w:val="21"/>
          <w:highlight w:val="none"/>
        </w:rPr>
      </w:pPr>
    </w:p>
    <w:p w14:paraId="62AEF11F">
      <w:pPr>
        <w:spacing w:line="3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签字日期：___________________________________</w:t>
      </w:r>
    </w:p>
    <w:p w14:paraId="4F15BCDC">
      <w:pPr>
        <w:spacing w:line="350" w:lineRule="exact"/>
        <w:rPr>
          <w:rFonts w:hint="eastAsia" w:ascii="宋体" w:hAnsi="宋体" w:eastAsia="宋体" w:cs="宋体"/>
          <w:color w:val="auto"/>
          <w:sz w:val="21"/>
          <w:szCs w:val="21"/>
          <w:highlight w:val="none"/>
        </w:rPr>
      </w:pPr>
    </w:p>
    <w:p w14:paraId="5C88CD71">
      <w:pPr>
        <w:spacing w:line="350" w:lineRule="exact"/>
        <w:rPr>
          <w:rFonts w:hint="eastAsia" w:ascii="宋体" w:hAnsi="宋体" w:eastAsia="宋体" w:cs="宋体"/>
          <w:color w:val="auto"/>
          <w:sz w:val="21"/>
          <w:szCs w:val="21"/>
          <w:highlight w:val="none"/>
        </w:rPr>
      </w:pPr>
    </w:p>
    <w:p w14:paraId="339E2C63">
      <w:pPr>
        <w:spacing w:line="350" w:lineRule="exact"/>
        <w:rPr>
          <w:rFonts w:hint="eastAsia" w:ascii="宋体" w:hAnsi="宋体" w:eastAsia="宋体" w:cs="宋体"/>
          <w:color w:val="auto"/>
          <w:sz w:val="21"/>
          <w:szCs w:val="21"/>
          <w:highlight w:val="none"/>
        </w:rPr>
      </w:pPr>
    </w:p>
    <w:p w14:paraId="48B8D544">
      <w:pPr>
        <w:spacing w:line="35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乙方(盖章)：</w:t>
      </w:r>
      <w:r>
        <w:rPr>
          <w:rFonts w:hint="eastAsia" w:ascii="宋体" w:hAnsi="宋体" w:eastAsia="宋体" w:cs="宋体"/>
          <w:color w:val="auto"/>
          <w:sz w:val="21"/>
          <w:szCs w:val="21"/>
          <w:highlight w:val="none"/>
          <w:u w:val="single"/>
        </w:rPr>
        <w:t xml:space="preserve">                                 </w:t>
      </w:r>
    </w:p>
    <w:p w14:paraId="1190F7F9">
      <w:pPr>
        <w:spacing w:line="350" w:lineRule="exact"/>
        <w:ind w:firstLine="420" w:firstLineChars="200"/>
        <w:rPr>
          <w:rFonts w:hint="eastAsia" w:ascii="宋体" w:hAnsi="宋体" w:eastAsia="宋体" w:cs="宋体"/>
          <w:color w:val="auto"/>
          <w:sz w:val="21"/>
          <w:szCs w:val="21"/>
          <w:highlight w:val="none"/>
        </w:rPr>
      </w:pPr>
    </w:p>
    <w:p w14:paraId="0CC479FB">
      <w:pPr>
        <w:spacing w:line="3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法定代表人（或授权代表）签字：_______________</w:t>
      </w:r>
    </w:p>
    <w:p w14:paraId="0BCC2622">
      <w:pPr>
        <w:spacing w:line="350" w:lineRule="exact"/>
        <w:ind w:firstLine="420" w:firstLineChars="200"/>
        <w:rPr>
          <w:rFonts w:hint="eastAsia" w:ascii="宋体" w:hAnsi="宋体" w:eastAsia="宋体" w:cs="宋体"/>
          <w:color w:val="auto"/>
          <w:sz w:val="21"/>
          <w:szCs w:val="21"/>
          <w:highlight w:val="none"/>
        </w:rPr>
      </w:pPr>
    </w:p>
    <w:p w14:paraId="11611912">
      <w:pPr>
        <w:keepNext w:val="0"/>
        <w:keepLines w:val="0"/>
        <w:widowControl/>
        <w:numPr>
          <w:ilvl w:val="0"/>
          <w:numId w:val="0"/>
        </w:numPr>
        <w:suppressLineNumbers w:val="0"/>
        <w:ind w:firstLine="420" w:firstLineChars="20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32F311C">
      <w:pPr>
        <w:keepNext w:val="0"/>
        <w:keepLines w:val="0"/>
        <w:widowControl/>
        <w:numPr>
          <w:ilvl w:val="0"/>
          <w:numId w:val="0"/>
        </w:numPr>
        <w:suppressLineNumbers w:val="0"/>
        <w:jc w:val="both"/>
        <w:textAlignment w:val="center"/>
        <w:rPr>
          <w:rFonts w:hint="eastAsia" w:ascii="宋体" w:hAnsi="宋体" w:eastAsia="宋体" w:cs="宋体"/>
          <w:color w:val="auto"/>
          <w:sz w:val="21"/>
          <w:szCs w:val="21"/>
          <w:highlight w:val="none"/>
        </w:rPr>
      </w:pPr>
    </w:p>
    <w:p w14:paraId="7B68A3F7">
      <w:pPr>
        <w:keepNext w:val="0"/>
        <w:keepLines w:val="0"/>
        <w:widowControl/>
        <w:numPr>
          <w:ilvl w:val="0"/>
          <w:numId w:val="0"/>
        </w:numPr>
        <w:suppressLineNumbers w:val="0"/>
        <w:jc w:val="both"/>
        <w:textAlignment w:val="center"/>
        <w:rPr>
          <w:rFonts w:hint="eastAsia" w:ascii="宋体" w:hAnsi="宋体" w:eastAsia="宋体" w:cs="宋体"/>
          <w:sz w:val="21"/>
          <w:szCs w:val="21"/>
          <w:highlight w:val="none"/>
        </w:rPr>
      </w:pPr>
    </w:p>
    <w:p w14:paraId="6C766DD0">
      <w:pPr>
        <w:keepNext w:val="0"/>
        <w:keepLines w:val="0"/>
        <w:widowControl/>
        <w:numPr>
          <w:ilvl w:val="0"/>
          <w:numId w:val="0"/>
        </w:numPr>
        <w:suppressLineNumbers w:val="0"/>
        <w:jc w:val="both"/>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附件1：食堂资产清单</w:t>
      </w:r>
    </w:p>
    <w:p w14:paraId="31969403">
      <w:pPr>
        <w:keepNext w:val="0"/>
        <w:keepLines w:val="0"/>
        <w:widowControl/>
        <w:numPr>
          <w:ilvl w:val="0"/>
          <w:numId w:val="0"/>
        </w:numPr>
        <w:suppressLineNumbers w:val="0"/>
        <w:jc w:val="both"/>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附件2：设备设施管理责任书</w:t>
      </w:r>
    </w:p>
    <w:p w14:paraId="524F6B4E">
      <w:pPr>
        <w:keepNext w:val="0"/>
        <w:keepLines w:val="0"/>
        <w:widowControl/>
        <w:numPr>
          <w:ilvl w:val="0"/>
          <w:numId w:val="0"/>
        </w:numPr>
        <w:suppressLineNumbers w:val="0"/>
        <w:jc w:val="both"/>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附件3：安全协议书</w:t>
      </w:r>
    </w:p>
    <w:p w14:paraId="20A3BF6E">
      <w:pPr>
        <w:keepNext w:val="0"/>
        <w:keepLines w:val="0"/>
        <w:widowControl/>
        <w:numPr>
          <w:ilvl w:val="0"/>
          <w:numId w:val="0"/>
        </w:numPr>
        <w:suppressLineNumbers w:val="0"/>
        <w:jc w:val="both"/>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附件4：软件所食堂工作考核内容</w:t>
      </w:r>
    </w:p>
    <w:p w14:paraId="0455C590">
      <w:pPr>
        <w:keepNext w:val="0"/>
        <w:keepLines w:val="0"/>
        <w:widowControl/>
        <w:numPr>
          <w:ilvl w:val="0"/>
          <w:numId w:val="0"/>
        </w:numPr>
        <w:suppressLineNumbers w:val="0"/>
        <w:jc w:val="both"/>
        <w:textAlignment w:val="center"/>
        <w:rPr>
          <w:rFonts w:hint="eastAsia" w:ascii="宋体" w:hAnsi="宋体" w:eastAsia="宋体" w:cs="宋体"/>
          <w:sz w:val="21"/>
          <w:szCs w:val="21"/>
          <w:highlight w:val="none"/>
        </w:rPr>
      </w:pPr>
    </w:p>
    <w:p w14:paraId="569EE9AF">
      <w:pPr>
        <w:keepNext w:val="0"/>
        <w:keepLines w:val="0"/>
        <w:widowControl/>
        <w:numPr>
          <w:ilvl w:val="0"/>
          <w:numId w:val="0"/>
        </w:numPr>
        <w:suppressLineNumbers w:val="0"/>
        <w:jc w:val="both"/>
        <w:textAlignment w:val="center"/>
        <w:rPr>
          <w:rFonts w:hint="eastAsia" w:ascii="宋体" w:hAnsi="宋体" w:eastAsia="宋体" w:cs="宋体"/>
          <w:sz w:val="21"/>
          <w:szCs w:val="21"/>
          <w:highlight w:val="none"/>
        </w:rPr>
      </w:pPr>
    </w:p>
    <w:p w14:paraId="79982702">
      <w:pPr>
        <w:keepNext w:val="0"/>
        <w:keepLines w:val="0"/>
        <w:widowControl/>
        <w:numPr>
          <w:ilvl w:val="0"/>
          <w:numId w:val="0"/>
        </w:numPr>
        <w:suppressLineNumbers w:val="0"/>
        <w:jc w:val="both"/>
        <w:textAlignment w:val="center"/>
        <w:rPr>
          <w:rFonts w:hint="eastAsia" w:ascii="宋体" w:hAnsi="宋体" w:eastAsia="宋体" w:cs="宋体"/>
          <w:sz w:val="21"/>
          <w:szCs w:val="21"/>
          <w:highlight w:val="none"/>
        </w:rPr>
      </w:pPr>
    </w:p>
    <w:p w14:paraId="21B0A7E4">
      <w:pPr>
        <w:keepNext w:val="0"/>
        <w:keepLines w:val="0"/>
        <w:widowControl/>
        <w:numPr>
          <w:ilvl w:val="0"/>
          <w:numId w:val="0"/>
        </w:numPr>
        <w:suppressLineNumbers w:val="0"/>
        <w:jc w:val="both"/>
        <w:textAlignment w:val="center"/>
        <w:rPr>
          <w:rFonts w:hint="eastAsia" w:ascii="宋体" w:hAnsi="宋体" w:eastAsia="宋体" w:cs="宋体"/>
          <w:sz w:val="21"/>
          <w:szCs w:val="21"/>
          <w:highlight w:val="none"/>
        </w:rPr>
      </w:pPr>
    </w:p>
    <w:p w14:paraId="0CFAE7CD">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br w:type="page"/>
      </w:r>
    </w:p>
    <w:p w14:paraId="35B9E123">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附件1：食堂资产清单</w:t>
      </w:r>
    </w:p>
    <w:tbl>
      <w:tblPr>
        <w:tblStyle w:val="3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2058"/>
        <w:gridCol w:w="2061"/>
        <w:gridCol w:w="4682"/>
      </w:tblGrid>
      <w:tr w14:paraId="1ECE4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D4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资产编号</w:t>
            </w:r>
          </w:p>
        </w:tc>
        <w:tc>
          <w:tcPr>
            <w:tcW w:w="11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06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标签号</w:t>
            </w:r>
          </w:p>
        </w:tc>
        <w:tc>
          <w:tcPr>
            <w:tcW w:w="102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DA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资产名称</w:t>
            </w:r>
          </w:p>
        </w:tc>
        <w:tc>
          <w:tcPr>
            <w:tcW w:w="24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6F2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型号规格</w:t>
            </w:r>
          </w:p>
        </w:tc>
      </w:tr>
      <w:tr w14:paraId="0ABB1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C3C8">
            <w:pPr>
              <w:jc w:val="center"/>
              <w:rPr>
                <w:rFonts w:hint="eastAsia" w:ascii="宋体" w:hAnsi="宋体" w:eastAsia="宋体" w:cs="宋体"/>
                <w:i w:val="0"/>
                <w:iCs w:val="0"/>
                <w:color w:val="000000"/>
                <w:sz w:val="18"/>
                <w:szCs w:val="18"/>
                <w:highlight w:val="none"/>
                <w:u w:val="none"/>
              </w:rPr>
            </w:pPr>
          </w:p>
        </w:tc>
        <w:tc>
          <w:tcPr>
            <w:tcW w:w="11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1E86">
            <w:pPr>
              <w:jc w:val="center"/>
              <w:rPr>
                <w:rFonts w:hint="eastAsia" w:ascii="宋体" w:hAnsi="宋体" w:eastAsia="宋体" w:cs="宋体"/>
                <w:i w:val="0"/>
                <w:iCs w:val="0"/>
                <w:color w:val="000000"/>
                <w:sz w:val="18"/>
                <w:szCs w:val="18"/>
                <w:highlight w:val="none"/>
                <w:u w:val="none"/>
              </w:rPr>
            </w:pPr>
          </w:p>
        </w:tc>
        <w:tc>
          <w:tcPr>
            <w:tcW w:w="10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36A1">
            <w:pPr>
              <w:jc w:val="center"/>
              <w:rPr>
                <w:rFonts w:hint="eastAsia" w:ascii="宋体" w:hAnsi="宋体" w:eastAsia="宋体" w:cs="宋体"/>
                <w:i w:val="0"/>
                <w:iCs w:val="0"/>
                <w:color w:val="000000"/>
                <w:sz w:val="18"/>
                <w:szCs w:val="18"/>
                <w:highlight w:val="none"/>
                <w:u w:val="none"/>
              </w:rPr>
            </w:pPr>
          </w:p>
        </w:tc>
        <w:tc>
          <w:tcPr>
            <w:tcW w:w="2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F98F0">
            <w:pPr>
              <w:jc w:val="center"/>
              <w:rPr>
                <w:rFonts w:hint="eastAsia" w:ascii="宋体" w:hAnsi="宋体" w:eastAsia="宋体" w:cs="宋体"/>
                <w:i w:val="0"/>
                <w:iCs w:val="0"/>
                <w:color w:val="000000"/>
                <w:sz w:val="18"/>
                <w:szCs w:val="18"/>
                <w:highlight w:val="none"/>
                <w:u w:val="none"/>
              </w:rPr>
            </w:pPr>
          </w:p>
        </w:tc>
      </w:tr>
      <w:tr w14:paraId="0C6A4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1F2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05-0153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245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20170605-0153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9BF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应急电源柜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B401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DUYD-D/08（动力源）</w:t>
            </w:r>
          </w:p>
        </w:tc>
      </w:tr>
      <w:tr w14:paraId="3BCEE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8AA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13-0403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BEB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20250513-0403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A4B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开水炉</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076C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1、功率9Kw,容积100升，单次出水量≥18.5升</w:t>
            </w:r>
          </w:p>
        </w:tc>
      </w:tr>
      <w:tr w14:paraId="4153D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976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13-0460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682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20250513-0460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255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人脸识别消费一体机</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5953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具有人脸识别消费机，人脸库容量2万人、识别时间0.5秒，识别准确率99.9%，刷卡识别：卡识别距离50MM、识别时间0.5秒，识别区域直径45MM，扫码识别：实现扫码付款支付方式，具备支持内部二维码。双显示屏，显示屏尺寸15.6寸，显示屏的分辨率1024*768；8、操作屏采用电容触摸屏，多点触控；</w:t>
            </w:r>
          </w:p>
        </w:tc>
      </w:tr>
      <w:tr w14:paraId="50E75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064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13-0045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5D3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20151213-0045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EC4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醒发箱</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6D1D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FX-13A（恒联）</w:t>
            </w:r>
          </w:p>
        </w:tc>
      </w:tr>
      <w:tr w14:paraId="2A285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410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13-0047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0A2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20170613-0047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6233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电烤箱</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E35F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三层 380V（恒联）</w:t>
            </w:r>
          </w:p>
        </w:tc>
      </w:tr>
      <w:tr w14:paraId="5A366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679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13-0052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3BD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20170613-0052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FA2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搅拌机</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F82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B30（恒联）</w:t>
            </w:r>
          </w:p>
        </w:tc>
      </w:tr>
      <w:tr w14:paraId="01F7B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B12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13-0056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127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20180213-0056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51C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蒸箱</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E2DA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MC-R24（美厨）</w:t>
            </w:r>
          </w:p>
        </w:tc>
      </w:tr>
      <w:tr w14:paraId="423E8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67B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13-0057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B8E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20180413-0057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F99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半封闭低温机组</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A84F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BFS31-TWM-380（谷轮）</w:t>
            </w:r>
          </w:p>
        </w:tc>
      </w:tr>
      <w:tr w14:paraId="26D81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B1D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13-0058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939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20180413-0058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DD7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冷库冷风机组</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1932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DD-22（凯来利）</w:t>
            </w:r>
          </w:p>
        </w:tc>
      </w:tr>
      <w:tr w14:paraId="07904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E37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13-0059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F51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20180713-0059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81C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半封闭式低温机组</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61F6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BFS31-TWM-380（谷轮）</w:t>
            </w:r>
          </w:p>
        </w:tc>
      </w:tr>
      <w:tr w14:paraId="63ADB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FBF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13-0060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DB2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20180713-0060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A37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冷库冷风机组</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74E3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DD-22（凯来利）</w:t>
            </w:r>
          </w:p>
        </w:tc>
      </w:tr>
      <w:tr w14:paraId="66A89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76B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13-0061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03E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20180813-0061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AC0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半封闭低温机组</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150C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BFS31-TWM-380（谷轮）</w:t>
            </w:r>
          </w:p>
        </w:tc>
      </w:tr>
      <w:tr w14:paraId="76197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EE5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13-0062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BBF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20180813-0062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0E5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冷库冷风机组</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A66F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DD-22（凯来利）</w:t>
            </w:r>
          </w:p>
        </w:tc>
      </w:tr>
      <w:tr w14:paraId="31BDB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CBA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13-0068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E58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20190613-0068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751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筋式货架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FFB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45784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843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13-0070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869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20190613-0070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C64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筋式货架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6ACC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11C61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6AA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13-0071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B79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20190613-0071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453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筋式货架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7F1B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101D5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BEC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13-0072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400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20190613-0072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871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筋式货架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A31D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70A4A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EBC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13-0073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828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20190613-0073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CEB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筋式货架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088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57FA8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B9F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13-0074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421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20190613-0074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0EE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筋式货架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CC8D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4A784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CE4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13-0075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CAE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20190613-0075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FAF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筋式货架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7D59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4DBA9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A11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13-0076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C0E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20190613-0076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4B6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筋式货架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5887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2CEDB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7FA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13-0077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3C7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20190613-0077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34F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EAE2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43318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743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13-0078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638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20190613-0078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B97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239F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66A46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4EB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13-0079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947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20190613-0079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4D3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E9E0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0A07D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E3B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13-0080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854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20190613-0080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200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5317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76BC1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EFC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13-0081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C21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20190613-0081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BEA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BD8B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1A39F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13C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13-0082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57F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20190613-0082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961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2193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7CFFF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E12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13-0083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C19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20190613-0083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CAA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6EE6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68C8E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93F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13-0084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CC4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20190613-0084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024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B548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6A13E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5FE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13-0085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A25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20190613-0085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1E8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52A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798E0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108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13-0086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209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20190613-0086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1EE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7C96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49809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BEB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13-0087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83A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20190613-0087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A3C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AFAD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6986D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D16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13-0088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78D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20190613-0088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589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50B3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4E64D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FEB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13-0089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588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20190613-0089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8E9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双槽水池</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2C1F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1000*500*800（北京鑫兴昌）</w:t>
            </w:r>
          </w:p>
        </w:tc>
      </w:tr>
      <w:tr w14:paraId="175E5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6B5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13-0091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72B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20190613-0091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29D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上滑道单开柜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BB7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1800*750*800（北京鑫兴昌）</w:t>
            </w:r>
          </w:p>
        </w:tc>
      </w:tr>
      <w:tr w14:paraId="06B53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B1E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13-0092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9DC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20190613-0092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AF8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上滑道单开柜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FB0A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1800*750*800（北京鑫兴昌）</w:t>
            </w:r>
          </w:p>
        </w:tc>
      </w:tr>
      <w:tr w14:paraId="26FFD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EDF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13-0093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B47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20190613-0093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223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工作台</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476C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1800*900*800（北京鑫兴昌）</w:t>
            </w:r>
          </w:p>
        </w:tc>
      </w:tr>
      <w:tr w14:paraId="10E60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B39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13-0094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F0F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20190613-0094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781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A61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09CED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239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13-0095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438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20190613-0095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5652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平台雪柜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418E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1800*800*800（杭州金松）</w:t>
            </w:r>
          </w:p>
        </w:tc>
      </w:tr>
      <w:tr w14:paraId="52282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D5A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13-0096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F1A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20190613-0096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227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四门冰箱</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0815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双机双温（杭州金松）</w:t>
            </w:r>
          </w:p>
        </w:tc>
      </w:tr>
      <w:tr w14:paraId="72E85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DBD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13-0097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E52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20190613-0097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9D63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工作台</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1A9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1800*600*800（北京鑫兴昌）</w:t>
            </w:r>
          </w:p>
        </w:tc>
      </w:tr>
      <w:tr w14:paraId="7C0DA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C83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13-0098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FFD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20190613-0098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F76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C843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38553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C38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13-0099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AFD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20190613-0099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3A2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D7F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563E4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34E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13-0100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D81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20190613-0100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FED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单槽水池</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CB07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1200*750*800（北京鑫兴昌）</w:t>
            </w:r>
          </w:p>
        </w:tc>
      </w:tr>
      <w:tr w14:paraId="1BFC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044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13-0101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527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20190613-0101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CFB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工作台</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751E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1500*750*800（北京鑫兴昌）</w:t>
            </w:r>
          </w:p>
        </w:tc>
      </w:tr>
      <w:tr w14:paraId="00753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018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13-0102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41D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20190613-0102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0F9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工作台</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C28C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1500*750*800（北京鑫兴昌）</w:t>
            </w:r>
          </w:p>
        </w:tc>
      </w:tr>
      <w:tr w14:paraId="440B6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574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13-0103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F16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20190613-0103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50B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工作台</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8F4C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1500*750*800（北京鑫兴昌）</w:t>
            </w:r>
          </w:p>
        </w:tc>
      </w:tr>
      <w:tr w14:paraId="362AF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3BD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13-0104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D7D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20190613-0104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047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工作台</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CA5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1800*900*800（北京鑫兴昌）</w:t>
            </w:r>
          </w:p>
        </w:tc>
      </w:tr>
      <w:tr w14:paraId="3D8A3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534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13-0105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E2E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20190613-0105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E2F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工作台</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457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1800*900*800（北京鑫兴昌）</w:t>
            </w:r>
          </w:p>
        </w:tc>
      </w:tr>
      <w:tr w14:paraId="3BCCC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539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13-0106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E538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20190613-0106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7B4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三槽水池</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7B1A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1800*750*800（北京鑫兴昌）</w:t>
            </w:r>
          </w:p>
        </w:tc>
      </w:tr>
      <w:tr w14:paraId="30BFF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BE10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13-0110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F4E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20190613-0110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CCC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5D8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15313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383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13-0111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5F2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20190613-0111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99B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双槽水池</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578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1500*750*800（北京鑫兴昌）</w:t>
            </w:r>
          </w:p>
        </w:tc>
      </w:tr>
      <w:tr w14:paraId="1267E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67E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13-0112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316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20190613-0112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6D7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上滑道单开柜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DA52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1500*750*800（北京鑫兴昌）</w:t>
            </w:r>
          </w:p>
        </w:tc>
      </w:tr>
      <w:tr w14:paraId="48CFC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A40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13-0120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6EA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20190613-0120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287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双开调料车</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255F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720*540*800（北京鑫兴昌）</w:t>
            </w:r>
          </w:p>
        </w:tc>
      </w:tr>
      <w:tr w14:paraId="2D8FE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2B6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13-0121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5A2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20190613-0121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89E0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双开调料车</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9B6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720*540*800（北京鑫兴昌）</w:t>
            </w:r>
          </w:p>
        </w:tc>
      </w:tr>
      <w:tr w14:paraId="3C82F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3E8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13-0123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F12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20190613-0123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086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双开调料车</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0439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720*540*800（北京鑫兴昌）</w:t>
            </w:r>
          </w:p>
        </w:tc>
      </w:tr>
      <w:tr w14:paraId="4CF0C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DE1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13-0124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D8E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20190613-0124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71F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四眼鼓风灶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4CA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2150*1150*800（北京鑫兴昌）</w:t>
            </w:r>
          </w:p>
        </w:tc>
      </w:tr>
      <w:tr w14:paraId="629C6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8CA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13-0131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A602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20190613-0131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383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运水烟罩</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4909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17600*1800（北京鑫兴昌）</w:t>
            </w:r>
          </w:p>
        </w:tc>
      </w:tr>
      <w:tr w14:paraId="7661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47B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13-0143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45A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20190613-0143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38A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四门冰箱</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7F5A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双机双温（杭州金松）</w:t>
            </w:r>
          </w:p>
        </w:tc>
      </w:tr>
      <w:tr w14:paraId="12FB2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9D1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13-0145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A84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20190613-0145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AF2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木案工作台</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BAA4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1800*900*800（北京鑫兴昌）</w:t>
            </w:r>
          </w:p>
        </w:tc>
      </w:tr>
      <w:tr w14:paraId="42CC9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257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13-0147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CDD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20190613-0147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FB0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面粉车</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ACA4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800*500*600（北京鑫兴昌）</w:t>
            </w:r>
          </w:p>
        </w:tc>
      </w:tr>
      <w:tr w14:paraId="33C42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E22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13-0157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AAD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20190613-0157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14A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单槽水池</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6964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1200*750*830（北京鑫兴昌）</w:t>
            </w:r>
          </w:p>
        </w:tc>
      </w:tr>
      <w:tr w14:paraId="303B0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967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13-0164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CF2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20190613-0164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197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上滑道立柜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017B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16EF5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5E9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13-0165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C5F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20190613-0165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896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上滑道立柜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8D5B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7B3C0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830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13-0167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00A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20190613-0167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37F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保鲜库</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0FE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5500*3200*2400（北京鑫兴昌）</w:t>
            </w:r>
          </w:p>
        </w:tc>
      </w:tr>
      <w:tr w14:paraId="2904B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720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13-0168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F5F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20190613-0168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6242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筋式货架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5840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48B89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3E6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13-0169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EE1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20190613-0169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D70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筋式货架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E76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0655E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23D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13-0170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687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20190613-0170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F76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筋式货架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AB3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3ACDD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E3D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13-0171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ED7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20190613-0171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376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筋式货架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486B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43EA6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B44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13-0172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D14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20190613-0172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327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筋式货架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B463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38A1E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0AA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13-0173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741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20190613-0173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32B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筋式货架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E754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1E8ED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772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13-0174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2F33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20190613-0174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014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筋式货架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EA4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0CD5A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0CA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13-0175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C09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20190613-0175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67D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筋式货架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754E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6BA69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902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13-0176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EEA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20190613-0176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9AD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筋式货架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F427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323F2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CAC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13-0178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B11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20190613-0178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050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筋式货架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66F4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558C1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E01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13-0179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7DE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20190613-0179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0B4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筋式货架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28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395D8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B0E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13-0180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45E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20190613-0180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EAF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筋式货架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3A7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6E827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231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13-0181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953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20190613-0181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33E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筋式货架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086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04A45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13C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13-0182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77B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20190613-0182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654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73C7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1CE34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B06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13-0183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B9D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20190613-0183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718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94CB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292D3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A09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13-0184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0D2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20190613-0184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1F4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BA85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1F823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505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13-0185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AAB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20190613-0185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85E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4C1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20BB7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3DB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13-0186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DA4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20190613-0186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B93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CA7E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3A339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943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13-0187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3B1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20190613-0187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4C5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638F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1B13A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0DD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13-0188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F68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20190613-0188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1EB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1661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47F7F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383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13-0189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327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20190613-0189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845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7EC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3ACF4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BB3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13-0190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B78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20190613-0190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7F1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9E3C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76002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9DE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13-0191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D06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20190613-0191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220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53C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126C3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EBC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13-0192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5C8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20190613-0192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70F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E3E8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5E1CA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3DA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13-0193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116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20190613-0193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DE7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EABF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4D9FF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339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13-0194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F08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20190613-0194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C1D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D10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1377C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D91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13-0195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AE3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20190613-0195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8302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ACD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1A4C1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427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13-0196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254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20190613-0196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DA1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D00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38DE0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525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13-0197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10C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20190613-0197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510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ECA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6294B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4DC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13-0202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921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20190613-0202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136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上滑道单开柜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979C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1500*600*800（北京鑫兴昌）</w:t>
            </w:r>
          </w:p>
        </w:tc>
      </w:tr>
      <w:tr w14:paraId="2D795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090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13-0206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3C3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20190613-0206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527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A83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33794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814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13-0207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36E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20190613-0207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BA6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工作台</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1AC9B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1500*600*800（北京鑫兴昌）</w:t>
            </w:r>
          </w:p>
        </w:tc>
      </w:tr>
      <w:tr w14:paraId="1D2F1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12C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13-0208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D70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20190613-0208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2CD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工作台</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12E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1500*600*800（北京鑫兴昌）</w:t>
            </w:r>
          </w:p>
        </w:tc>
      </w:tr>
      <w:tr w14:paraId="11C92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4D1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13-0209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3403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20190613-0209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1A8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E98A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1E7DC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5AE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13-0210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052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20190613-0210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F9C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A439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28779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CCA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13-0211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B92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20190613-0211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F82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032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21440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4A7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13-0212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C88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20190613-0212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BC0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667B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1DDBB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CF8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13-0214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4B3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20190613-0214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DD9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工作台</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0BF1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1800*750*800（北京鑫兴昌）</w:t>
            </w:r>
          </w:p>
        </w:tc>
      </w:tr>
      <w:tr w14:paraId="4A1D7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C47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13-0215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65A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20190613-0215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891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工作台</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2A65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1800*750*800（北京鑫兴昌）</w:t>
            </w:r>
          </w:p>
        </w:tc>
      </w:tr>
      <w:tr w14:paraId="67977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76C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13-0216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5F1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20190613-0216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3E63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工作台</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D53F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1800*750*800（北京鑫兴昌）</w:t>
            </w:r>
          </w:p>
        </w:tc>
      </w:tr>
      <w:tr w14:paraId="712D5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A7CA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13-0217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6C3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20190613-0217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CAF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工作台</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92AE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1800*750*800（北京鑫兴昌）</w:t>
            </w:r>
          </w:p>
        </w:tc>
      </w:tr>
      <w:tr w14:paraId="043E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0D7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13-0218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4DF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20190613-0218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BA5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工作台</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09B3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1800*750*800（北京鑫兴昌）</w:t>
            </w:r>
          </w:p>
        </w:tc>
      </w:tr>
      <w:tr w14:paraId="7FFF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293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13-0220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C3A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20190613-0220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D1C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双槽水池</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D3A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1500*750*800（北京鑫兴昌）</w:t>
            </w:r>
          </w:p>
        </w:tc>
      </w:tr>
      <w:tr w14:paraId="655F6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E78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13-0223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23D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20190613-0223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D5F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双槽水池</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70F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1500*750*800（北京鑫兴昌）</w:t>
            </w:r>
          </w:p>
        </w:tc>
      </w:tr>
      <w:tr w14:paraId="7018A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82A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13-0227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1CE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20190613-0227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C73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9E9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70B3A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83F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13-0228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007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20190613-0228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068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AC3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41DF2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619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13-0229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339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20190613-0229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750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83A6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53347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37F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13-0230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064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20190613-0230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364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C6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22D92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1C27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13-0231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F7F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20190613-0231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125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8927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34720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ACC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13-0232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032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20190613-0232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0F4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9326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33016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02C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13-0238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A6F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20190613-0238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A1E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双开调料车</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A194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720*540*800（北京鑫兴昌）</w:t>
            </w:r>
          </w:p>
        </w:tc>
      </w:tr>
      <w:tr w14:paraId="2852F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12C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13-0250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669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20190613-0250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DD1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运水烟罩</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4B93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6000*1800（北京鑫兴昌）</w:t>
            </w:r>
          </w:p>
        </w:tc>
      </w:tr>
      <w:tr w14:paraId="1AD6B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AAB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13-0253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444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20190613-0253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5DF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运水泵</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DFAB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双泵（北京鑫兴昌）</w:t>
            </w:r>
          </w:p>
        </w:tc>
      </w:tr>
      <w:tr w14:paraId="0247D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E46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13-0260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E2E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20190613-0260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7030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双槽水池</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BFD1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1500*750*800（北京鑫兴昌）</w:t>
            </w:r>
          </w:p>
        </w:tc>
      </w:tr>
      <w:tr w14:paraId="48ABD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135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13-0264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B55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20190613-0264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FB8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面粉车</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E9D3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800*500*600（北京鑫兴昌）</w:t>
            </w:r>
          </w:p>
        </w:tc>
      </w:tr>
      <w:tr w14:paraId="59BA8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306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13-0272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C91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20190613-0272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ECE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排烟罩</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043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8200*1600（北京鑫兴昌）</w:t>
            </w:r>
          </w:p>
        </w:tc>
      </w:tr>
      <w:tr w14:paraId="6707F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137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13-0273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B08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20190613-0273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A77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运水泵</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373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单泵（北京鑫兴昌）</w:t>
            </w:r>
          </w:p>
        </w:tc>
      </w:tr>
      <w:tr w14:paraId="3DB27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49A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13-0282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BBE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20190613-0282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D38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AAAC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4E93E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754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13-0283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A37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20190613-0283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556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E304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47435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086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13-0284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389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20190613-0284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2B1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8791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35970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DBA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13-0285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DA0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20190613-0285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D1D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上滑道立柜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7ABB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390B6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9D9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13-0286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4B2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20190613-0286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9AA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上滑道立柜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984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5B0C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ACD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13-0289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A8C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20190613-0289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0CD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五盆电热保温柜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26DA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1780*750*800（北京鑫兴昌）</w:t>
            </w:r>
          </w:p>
        </w:tc>
      </w:tr>
      <w:tr w14:paraId="153CC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7F8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13-0290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BA1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20190613-0290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B41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四盆电热保温柜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BAA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1500*750*800（北京鑫兴昌）</w:t>
            </w:r>
          </w:p>
        </w:tc>
      </w:tr>
      <w:tr w14:paraId="43CB8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14F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13-0291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FD0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20190613-0291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1C4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四盆电热保温柜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F5C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1500*750*800（北京鑫兴昌）</w:t>
            </w:r>
          </w:p>
        </w:tc>
      </w:tr>
      <w:tr w14:paraId="70C18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E02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13-0292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0F6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20190613-0292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FDC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四盆电热保温柜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EDFF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1500*750*800（北京鑫兴昌）</w:t>
            </w:r>
          </w:p>
        </w:tc>
      </w:tr>
      <w:tr w14:paraId="0F037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511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13-0293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33C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20190613-0293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7A4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四盆电热保温柜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0A34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1500*750*800（北京鑫兴昌）</w:t>
            </w:r>
          </w:p>
        </w:tc>
      </w:tr>
      <w:tr w14:paraId="4CFDB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BBD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13-0294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FA0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20190613-0294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21C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四盆电热保温柜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4B0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1500*750*800（北京鑫兴昌）</w:t>
            </w:r>
          </w:p>
        </w:tc>
      </w:tr>
      <w:tr w14:paraId="26128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C26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13-0295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316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20190613-0295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FBE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四盆电热保温柜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7E51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1500*750*800（北京鑫兴昌）</w:t>
            </w:r>
          </w:p>
        </w:tc>
      </w:tr>
      <w:tr w14:paraId="27DED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59A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13-0296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14CA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20190613-0296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E05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上滑道单开柜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0BCA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1200*750*800（北京鑫兴昌）</w:t>
            </w:r>
          </w:p>
        </w:tc>
      </w:tr>
      <w:tr w14:paraId="16074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1A3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13-0298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60C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20190613-0298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4C7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新增上滑道单开柜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F5B3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700*750*800（北京鑫兴昌）</w:t>
            </w:r>
          </w:p>
        </w:tc>
      </w:tr>
      <w:tr w14:paraId="1C92F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6E9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13-0299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A66B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20190613-0299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5B57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新增上滑道单开柜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1447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700*750*800（北京鑫兴昌）</w:t>
            </w:r>
          </w:p>
        </w:tc>
      </w:tr>
      <w:tr w14:paraId="7D1DB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D72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13-0300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015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20190613-0300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1B4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新增上滑道单开柜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E59B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700*750*800（北京鑫兴昌）</w:t>
            </w:r>
          </w:p>
        </w:tc>
      </w:tr>
      <w:tr w14:paraId="5D5D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5A2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13-0311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D1A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20190613-0311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36A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上滑道立柜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12B6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55935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907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13-0312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E63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20190613-0312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A9E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上滑道立柜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AF3A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5A93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70D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13-0313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82C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20190613-0313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5AA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上滑道立柜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E1A0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793F3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A3C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13-0314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02C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20190613-0314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4B7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双槽水池</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2A85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1200*600*800（北京鑫兴昌）</w:t>
            </w:r>
          </w:p>
        </w:tc>
      </w:tr>
      <w:tr w14:paraId="3678D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1DD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13-0316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9A0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20190613-0316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03B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双眼残食台</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169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1500*750*800（北京鑫兴昌）</w:t>
            </w:r>
          </w:p>
        </w:tc>
      </w:tr>
      <w:tr w14:paraId="7214A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7FF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13-0317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EC8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20190613-0317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B13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双眼残食台</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2C84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1500*750*800（北京鑫兴昌）</w:t>
            </w:r>
          </w:p>
        </w:tc>
      </w:tr>
      <w:tr w14:paraId="40FB8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71C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13-0320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D7E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20190613-0320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779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双层工作台</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D1CA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1500*750*800（北京鑫兴昌）</w:t>
            </w:r>
          </w:p>
        </w:tc>
      </w:tr>
      <w:tr w14:paraId="34636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8F0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13-0321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A08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20190613-0321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7F4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双层工作台</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C4A5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1500*750*800（北京鑫兴昌）</w:t>
            </w:r>
          </w:p>
        </w:tc>
      </w:tr>
      <w:tr w14:paraId="3379B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8A73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13-0322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20A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20190613-0322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D72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双层水池</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7617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1200*600*800</w:t>
            </w:r>
          </w:p>
        </w:tc>
      </w:tr>
      <w:tr w14:paraId="2A06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3D3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13-0324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2CD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20190613-0324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390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上滑道立柜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553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1B760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9E4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13-0325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98C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20190613-0325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FA4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上滑道立柜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3580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1200*530*1800（北京鑫兴昌）</w:t>
            </w:r>
          </w:p>
        </w:tc>
      </w:tr>
      <w:tr w14:paraId="328B0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4E6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13-0327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32A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20190613-0327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E3F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上滑道单开柜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6FA5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1200*750*800（北京鑫兴昌）</w:t>
            </w:r>
          </w:p>
        </w:tc>
      </w:tr>
      <w:tr w14:paraId="31336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25E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13-0328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3C8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20190613-0328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542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五盆电热保温柜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579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1780*750*800（北京鑫兴昌）</w:t>
            </w:r>
          </w:p>
        </w:tc>
      </w:tr>
      <w:tr w14:paraId="2AF12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C0B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13-0329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BF3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20190613-0329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5E6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五盆电热保温柜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32BC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1780*750*800（北京鑫兴昌）</w:t>
            </w:r>
          </w:p>
        </w:tc>
      </w:tr>
      <w:tr w14:paraId="5025D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3BD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13-0330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78F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20190613-0330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7BD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四盆电热保温柜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C50B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1500*750*800（北京鑫兴昌）</w:t>
            </w:r>
          </w:p>
        </w:tc>
      </w:tr>
      <w:tr w14:paraId="6A69F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AE0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13-0331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CBC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20190613-0331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904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四盆电热保温柜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4B1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1500*750*800（北京鑫兴昌）</w:t>
            </w:r>
          </w:p>
        </w:tc>
      </w:tr>
      <w:tr w14:paraId="0701D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9CB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13-0332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47F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20190613-0332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CACA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四盆电热保温柜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9303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1500*750*800（北京鑫兴昌）</w:t>
            </w:r>
          </w:p>
        </w:tc>
      </w:tr>
      <w:tr w14:paraId="68984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369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13-0333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E9F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20190613-0333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F7C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四盆电热保温柜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8089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1500*750*800（北京鑫兴昌）</w:t>
            </w:r>
          </w:p>
        </w:tc>
      </w:tr>
      <w:tr w14:paraId="32CCA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CA6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13-0345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F9A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20190613-0345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04A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双层工作台</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DDBA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1500*750*800（北京鑫兴昌）</w:t>
            </w:r>
          </w:p>
        </w:tc>
      </w:tr>
      <w:tr w14:paraId="6C5AC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083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13-0347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A71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20190613-0347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A32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排烟系统</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72B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6BDD8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223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13-0362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F1B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20190613-0362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651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电饼铛</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8117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65型（泽厨）</w:t>
            </w:r>
          </w:p>
        </w:tc>
      </w:tr>
      <w:tr w14:paraId="46529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416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13-0363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C47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20190813-0363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C48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油烟净化器</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6332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HQD-JYJ-HR-38（鸿瑞质恒）</w:t>
            </w:r>
          </w:p>
        </w:tc>
      </w:tr>
      <w:tr w14:paraId="49923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AA1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13-0364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3CC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20190813-0364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265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非甲烷总烃净化器</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29E9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860*1090*1900（鸿瑞质恒）</w:t>
            </w:r>
          </w:p>
        </w:tc>
      </w:tr>
      <w:tr w14:paraId="14B39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4E2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13-0365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2E6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20190813-0365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DB9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实时在线监测仪</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6FDD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BY-YYZX-01（鸿瑞质恒）</w:t>
            </w:r>
          </w:p>
        </w:tc>
      </w:tr>
      <w:tr w14:paraId="61A99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DD6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13-0369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03F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20200513-0369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F14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电饼铛</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054F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自动恒温，3-380V，50HZ，5KW</w:t>
            </w:r>
          </w:p>
        </w:tc>
      </w:tr>
      <w:tr w14:paraId="44E07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A12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13-0370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30B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20200513-0370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859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双眼低汤灶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535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24KW，2kpa</w:t>
            </w:r>
          </w:p>
        </w:tc>
      </w:tr>
      <w:tr w14:paraId="1CE41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236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13-0371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DEB2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20200613-0371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C40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半封闭低温机组</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6E6D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BFS31-TWM-380</w:t>
            </w:r>
          </w:p>
        </w:tc>
      </w:tr>
      <w:tr w14:paraId="0C9DF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EB9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13-0372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FB8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20200613-0372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041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冷库冷风机组</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084F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DD-22</w:t>
            </w:r>
          </w:p>
        </w:tc>
      </w:tr>
      <w:tr w14:paraId="71897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F64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13-0374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C6C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20200813-0374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F03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燃气节能蒸饭柜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FD9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外形：1390*660*1670、额定热负荷：2*16KW、燃气压力：2.0KPa</w:t>
            </w:r>
          </w:p>
        </w:tc>
      </w:tr>
      <w:tr w14:paraId="22988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595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13-0375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E2A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20201113-0375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087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燃气低汤灶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9AB1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24KW，304不锈钢，2.0kpa，定制1200*750*500</w:t>
            </w:r>
          </w:p>
        </w:tc>
      </w:tr>
      <w:tr w14:paraId="39456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DA3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13-0377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29B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20210313-0377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172B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和面机</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9E57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容积30L，功率2KW，电压380V</w:t>
            </w:r>
          </w:p>
        </w:tc>
      </w:tr>
      <w:tr w14:paraId="64F0F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F1F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13-0378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84A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20210413-0378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FE55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四门冰箱</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1D5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容积：900L，额定电压220V，制冷剂R600A，净重100KG</w:t>
            </w:r>
          </w:p>
        </w:tc>
      </w:tr>
      <w:tr w14:paraId="1B487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EC5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13-0379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72F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20210413-0379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567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四门冰箱</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26F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容积：900L，额定电压220V，制冷剂R600A，净重100KG</w:t>
            </w:r>
          </w:p>
        </w:tc>
      </w:tr>
      <w:tr w14:paraId="1DFE6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1F6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13-0380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407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20210413-0380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6DF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四门冰箱</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453D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容积：900L，额定电压220V，制冷剂R600A，净重100KG</w:t>
            </w:r>
          </w:p>
        </w:tc>
      </w:tr>
      <w:tr w14:paraId="110DE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5AD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13-0381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241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20210413-0381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93A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四门冰箱</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4E1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容积：900L，额定电压220V，制冷剂R600A，净重100KG</w:t>
            </w:r>
          </w:p>
        </w:tc>
      </w:tr>
      <w:tr w14:paraId="2BD42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B85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13-0382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04E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20210413-0382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4F3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燃气蒸饭柜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CF81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天然气，1390*660*1670，,20KPa</w:t>
            </w:r>
          </w:p>
        </w:tc>
      </w:tr>
      <w:tr w14:paraId="784C2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25F5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13-0383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80D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20220713-0383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D6A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三眼鼓风灶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6DE0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180*115*80</w:t>
            </w:r>
          </w:p>
        </w:tc>
      </w:tr>
      <w:tr w14:paraId="1DC29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C2B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13-0384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C20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20220913-0384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0A3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消毒柜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3A8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型号ZTP1000-988A3，容积650L,消毒温度≤70°</w:t>
            </w:r>
          </w:p>
        </w:tc>
      </w:tr>
      <w:tr w14:paraId="71F20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0AB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13-0385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775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20220913-0385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424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消毒柜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0FB3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型号ZTP1000-988A3，容积650L,消毒温度≤70°</w:t>
            </w:r>
          </w:p>
        </w:tc>
      </w:tr>
      <w:tr w14:paraId="4EC5C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10E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13-0386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EA5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20220913-0386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AFB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消毒柜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379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型号ZTP1000-988A3，容积650L,消毒温度≤70°</w:t>
            </w:r>
          </w:p>
        </w:tc>
      </w:tr>
      <w:tr w14:paraId="586AC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7A0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13-0387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CD7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20220913-0387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8A7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消毒柜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F44A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型号ZTP1000-988A3，容积650L,消毒温度≤70°</w:t>
            </w:r>
          </w:p>
        </w:tc>
      </w:tr>
      <w:tr w14:paraId="6006B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EEE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13-0388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60B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20220913-0388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D97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消毒柜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A65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型号ZTP1000-988A3，容积650L,消毒温度≤70°</w:t>
            </w:r>
          </w:p>
        </w:tc>
      </w:tr>
      <w:tr w14:paraId="2B830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6B7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13-0389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B50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20250513-0389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C33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平台雪柜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ACE8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1、电压：220V/50Hz功率：378.6W温度：+1℃~+4℃直冷2、内外箱均为SUS304不锈钢材质</w:t>
            </w:r>
          </w:p>
        </w:tc>
      </w:tr>
      <w:tr w14:paraId="5788B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381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13-0390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C6F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20250513-0390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CE6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平台雪柜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09CB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1、电压：220V/50Hz功率：378.6W温度：+1℃~+4℃直冷2、内外箱均为SUS304不锈钢材质</w:t>
            </w:r>
          </w:p>
        </w:tc>
      </w:tr>
      <w:tr w14:paraId="3FEC7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C13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13-0391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A14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20250513-0391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CEB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壁挂空调</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0ADE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1、壁挂式空调、制冷、制热，1匹；</w:t>
            </w:r>
          </w:p>
        </w:tc>
      </w:tr>
      <w:tr w14:paraId="51FC2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A122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13-0396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A4F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20250513-0396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951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留样展示保鲜冰箱</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1D57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1、采用食品级304不锈钢，电脑板智能控制    2、自动回归门设计</w:t>
            </w:r>
          </w:p>
        </w:tc>
      </w:tr>
      <w:tr w14:paraId="12960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B4B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13-0397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439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20250513-0397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D11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打蛋器</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4CEC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1、螺旋式运动原理，运行平稳，不锈钢搅拌缸；2、380V,1.85Kw,数控面板、时间显示，1档2档自动装换两种转动方向，搅拌均匀</w:t>
            </w:r>
          </w:p>
        </w:tc>
      </w:tr>
      <w:tr w14:paraId="43CA9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CBE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13-0398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21B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20250513-0398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7EC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双头低汤灶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D893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1200*700*500,1、全部采用304#不锈钢拉丝板制作2、炉灶主体为不锈钢板制造；厚度为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1.2mm；3、炉骨架采用国标40*40mm角钢，并涂有防锈漆</w:t>
            </w:r>
          </w:p>
        </w:tc>
      </w:tr>
      <w:tr w14:paraId="1BE13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D06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13-0399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E1D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20250513-0399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BED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双头低汤灶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820E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1200*700*500,1、全部采用304#不锈钢拉丝板制作2、炉灶主体为不锈钢板制造；厚度为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1.2mm；3、炉骨架采用国标40*40mm角钢，并涂有防锈漆</w:t>
            </w:r>
          </w:p>
        </w:tc>
      </w:tr>
      <w:tr w14:paraId="39359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A98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13-0400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6F5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20250513-0400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EF0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双开门燃气蒸箱</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F3F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1、主体台面不锈钢材质304板拉丝板厚；1.2mm,双面中间夹层保温耐火，双开门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采用硅胶无味密封条，不锈钢松紧扣拉手。</w:t>
            </w:r>
          </w:p>
        </w:tc>
      </w:tr>
      <w:tr w14:paraId="39156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451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13-0401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41E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20250513-0401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4DE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双开门燃气蒸箱</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539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1、主体台面不锈钢材质304板拉丝板厚；1.2mm,双面中间夹层保温耐火，双开门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采用硅胶无味密封条，不锈钢松紧扣拉手。</w:t>
            </w:r>
          </w:p>
        </w:tc>
      </w:tr>
      <w:tr w14:paraId="6163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CCD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13-0402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544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20250513-0402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F71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双开门燃气蒸箱</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D999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1、主体台面不锈钢材质304板拉丝板厚；1.2mm,双面中间夹层保温耐火，双开门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采用硅胶无味密封条，不锈钢松紧扣拉手。</w:t>
            </w:r>
          </w:p>
        </w:tc>
      </w:tr>
      <w:tr w14:paraId="57874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631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13-0404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60C7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20250513-0404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A77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开水炉</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6355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1、功率9Kw,容积100升，单次出水量≥18.5升</w:t>
            </w:r>
          </w:p>
        </w:tc>
      </w:tr>
      <w:tr w14:paraId="76BD7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0CC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13-0405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7D9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20250513-0405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7DE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开水炉</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A7C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1、功率9Kw,容积100升，单次出水量≥18.5升</w:t>
            </w:r>
          </w:p>
        </w:tc>
      </w:tr>
      <w:tr w14:paraId="4EF9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F02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13-0406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1E6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20250513-0406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24E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豆浆机</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287A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1、电机功率：3KW/50HZ 380V-6.4A</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2、可直饮式豆浆机，</w:t>
            </w:r>
          </w:p>
        </w:tc>
      </w:tr>
      <w:tr w14:paraId="18D05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616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13-0407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E16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20250513-0407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09E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压面机</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C08C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MT60/380V香河；工作效率60kg/h配用电机三相 1.5KW  2、配一把粗刀、一把细刀</w:t>
            </w:r>
          </w:p>
        </w:tc>
      </w:tr>
      <w:tr w14:paraId="6C2CB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BC1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13-0408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A005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20250513-0408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E8D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上滑道立柜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2505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1、全部台面采用1.5mm厚304不锈钢板，底衬304不锈钢加强梁2、柱脚采用38*38*1.5mm厚不锈钢方管</w:t>
            </w:r>
          </w:p>
        </w:tc>
      </w:tr>
      <w:tr w14:paraId="4321A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251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13-0409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9E2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20250513-0409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43D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上滑道立柜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E847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1、全部台面采用1.5mm厚304不锈钢板，底衬304不锈钢加强梁2、柱脚采用38*38*1.5mm厚不锈钢方管</w:t>
            </w:r>
          </w:p>
        </w:tc>
      </w:tr>
      <w:tr w14:paraId="666CE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0B2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13-0410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E75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20250513-0410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B08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上滑道立柜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67E2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1、全部台面采用1.5mm厚304不锈钢板，底衬304不锈钢加强梁2、柱脚采用38*38*1.5mm厚不锈钢方管</w:t>
            </w:r>
          </w:p>
        </w:tc>
      </w:tr>
      <w:tr w14:paraId="50D1A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2C4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13-0411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47F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20250513-0411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6D2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上滑道立柜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FD4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1、全部台面采用1.5mm厚304不锈钢板，底衬304不锈钢加强梁2、柱脚采用38*38*1.5mm厚不锈钢方管</w:t>
            </w:r>
          </w:p>
        </w:tc>
      </w:tr>
      <w:tr w14:paraId="3EF5B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C03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13-0412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BAD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20250513-0412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162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上滑道立柜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C979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1、全部台面采用1.5mm厚304不锈钢板，底衬304不锈钢加强梁2、柱脚采用38*38*1.5mm厚不锈钢方管</w:t>
            </w:r>
          </w:p>
        </w:tc>
      </w:tr>
      <w:tr w14:paraId="0BC6A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497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13-0413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9BD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20250513-0413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951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上滑道立柜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40E2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1、全部台面采用1.5mm厚304不锈钢板，底衬304不锈钢加强梁2、柱脚采用38*38*1.5mm厚不锈钢方管</w:t>
            </w:r>
          </w:p>
        </w:tc>
      </w:tr>
      <w:tr w14:paraId="147E8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17C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13-0414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6FD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20250513-0414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30C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上滑道立柜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54E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1、全部台面采用1.5mm厚304不锈钢板，底衬304不锈钢加强梁2、柱脚采用38*38*1.5mm厚不锈钢方管</w:t>
            </w:r>
          </w:p>
        </w:tc>
      </w:tr>
      <w:tr w14:paraId="602A4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9E1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13-0415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75A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20250513-0415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12E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厨房灭火装置</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74CB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1、灭火装置具备自动和手动两种操作模式需与消防水(或者自来水)管路相连，系统启动后，自控水阀等灭火剂喷洒完全后，再自动喷水</w:t>
            </w:r>
          </w:p>
        </w:tc>
      </w:tr>
      <w:tr w14:paraId="5E0E8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2B9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13-0416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4AD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20250513-0416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83E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厨房灭火装置</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02C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1、灭火装置具备自动和手动两种操作模式需与消防水(或者自来水)管路相连，系统启动后，自控水阀等灭火剂喷洒完全后，再自动喷水</w:t>
            </w:r>
          </w:p>
        </w:tc>
      </w:tr>
      <w:tr w14:paraId="06ED0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C38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13-0417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F57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20250513-0417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EF7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壁挂空调</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262D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1、壁挂式空调、制冷、制热，1.5匹</w:t>
            </w:r>
          </w:p>
        </w:tc>
      </w:tr>
      <w:tr w14:paraId="20D28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37D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13-0418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769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20250513-0418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5BA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台式绞肉机</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3CE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1、机身材质为优质304不锈钢板，厚度为1.2mm,配有绞线粗细刀具2、额定电压：380v,</w:t>
            </w:r>
          </w:p>
        </w:tc>
      </w:tr>
      <w:tr w14:paraId="5A7CE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BDD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13-0419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858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20250513-0419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016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B1洗碗机</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DC22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1、尺寸：4700*850*1860(不作为控制项)2、性能：1道主洗，1道漂洗；消毒杀戮远红外双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烘干系统 3、主洗水箱、漂洗水箱各为双加热4、主洗、漂洗喷淋臂共为上6排下4排5、主洗温度：65C°~75C°,漂洗温度：70C°~98C°</w:t>
            </w:r>
          </w:p>
        </w:tc>
      </w:tr>
      <w:tr w14:paraId="78AB8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306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13-0420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456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20250513-0420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CCB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B2洗碗机</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812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)2、性能：1道主洗，1道漂洗；消毒杀戮远红外双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烘干系统 3、主洗水箱、漂洗水箱各为双加热4、主洗、漂洗喷淋臂共为上6排下4排5、主洗温度：65C°~75C°,漂洗温度：70C°~98C°</w:t>
            </w:r>
          </w:p>
        </w:tc>
      </w:tr>
      <w:tr w14:paraId="1FB47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704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13-0421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9AD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20250513-0421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4AB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地托架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9CD2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1500*500*250厂制品；（1、采用1.5厚38*38方管不锈钢方管制作； 2、层架全部为1.5mm厚不锈钢结构，）</w:t>
            </w:r>
          </w:p>
        </w:tc>
      </w:tr>
      <w:tr w14:paraId="340D4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7C0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13-0422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5BB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20250513-0422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F65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地托架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B5F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1500*500*250厂制品；（1、采用1.5厚38*38方管不锈钢方管制作； 2、层架全部为1.5mm厚不锈钢结构，）</w:t>
            </w:r>
          </w:p>
        </w:tc>
      </w:tr>
      <w:tr w14:paraId="0214F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434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13-0423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ECA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20250513-0423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85F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地托架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A4A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1500*500*250厂制品；（1、采用1.5厚38*38方管不锈钢方管制作； 2、层架全部为1.5mm厚不锈钢结构，）</w:t>
            </w:r>
          </w:p>
        </w:tc>
      </w:tr>
      <w:tr w14:paraId="30D9D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20E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13-0424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D11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20250513-0424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037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地托架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EB3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1500*500*250厂制品；（1、采用1.5厚38*38方管不锈钢方管制作； 2、层架全部为1.5mm厚不锈钢结构，）</w:t>
            </w:r>
          </w:p>
        </w:tc>
      </w:tr>
      <w:tr w14:paraId="0BB79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17C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13-0425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8E0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20250513-0425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A76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B1排烟罩</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9BC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4500*1000*400厂制品；1、采用面板304#不锈钢拉丝板制作2、罩体材料为1.0mm不锈钢板</w:t>
            </w:r>
          </w:p>
        </w:tc>
      </w:tr>
      <w:tr w14:paraId="6A4FD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F31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13-0426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506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20250513-0426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BAA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B2排烟罩</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2B49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1、采用面板304#不锈钢拉丝板制作2、罩体材料为1.0mm不锈钢板  （1套2㎡，共4209.22元）</w:t>
            </w:r>
          </w:p>
        </w:tc>
      </w:tr>
      <w:tr w14:paraId="5DCE2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67E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13-0427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CD8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20250513-0427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9B9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异型排烟罩</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7FBE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3210*950*400厂制品；1、采用面板优质不锈钢拉丝板制作 2、罩体材料为1.0mm不锈钢板（一套6938.28元，3㎡）</w:t>
            </w:r>
          </w:p>
        </w:tc>
      </w:tr>
      <w:tr w14:paraId="5D95A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E1D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13-0428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F62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20250513-0428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5BB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配菜架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44E6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1、全部采用304#不锈钢拉丝板制作2、层架全部为1.2mm厚不锈钢结构</w:t>
            </w:r>
          </w:p>
        </w:tc>
      </w:tr>
      <w:tr w14:paraId="1FD80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7ED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13-0429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62F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20250513-0429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240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运水烟罩控制箱</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7338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双泵厂制品；采用宝钢优质不锈钢结构1、罩体材料：采用优质不锈钢拉丝板材2、烟罩的前板厚1.0mm</w:t>
            </w:r>
          </w:p>
        </w:tc>
      </w:tr>
      <w:tr w14:paraId="05725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6F5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13-0430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37A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20250513-0430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BCC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双滑道立柜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D89D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1、全部台面采用1.5mm厚304不锈钢板，底衬304不锈钢加强梁2、柱脚采用38*38*1.5mm厚不锈钢方管</w:t>
            </w:r>
          </w:p>
        </w:tc>
      </w:tr>
      <w:tr w14:paraId="0F0EF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9A0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13-0431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B03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20250513-0431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C8A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多功能蒸箱</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EDE5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1、主体台面不锈钢材质304板拉丝板厚1.2mm,双面中间夹层保温耐火，双开门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采用硅胶无味密封条，不锈钢松紧扣拉手</w:t>
            </w:r>
          </w:p>
        </w:tc>
      </w:tr>
      <w:tr w14:paraId="47416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00A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13-0432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E46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20250513-0432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EB2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双开调料车</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22B3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1、全部台面采用304#不锈钢拉丝板制作2、工作台面采用1.5mm不锈钢板制造，台面下采用1.2mm不锈钢槽型补强撑加固</w:t>
            </w:r>
          </w:p>
        </w:tc>
      </w:tr>
      <w:tr w14:paraId="28413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8FC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13-0433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C31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20250513-0433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E0C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单眼鼓风灶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9C7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1150*1150*800,1、炉体采用304不锈钢板2、炉面：炉面采用其1.5MM厚的不锈钢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板，主台面和炒围，尾围采用一次成形，炉面底层采用10mm厚耐热硅酸铝岩板材隔</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热.前面板、侧板、立面板采用1.2mm不锈钢</w:t>
            </w:r>
          </w:p>
        </w:tc>
      </w:tr>
      <w:tr w14:paraId="2395D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C62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13-0434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1AD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20250513-0434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194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单眼鼓风灶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7F9B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1150*1150*800,1、炉体采用304不锈钢板2、炉面：炉面采用其1.5MM厚的不锈钢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板，主台面和炒围，尾围采用一次成形，炉面底层采用10mm厚耐热硅酸铝岩板材隔</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热.前面板、侧板、立面板采用1.2mm不锈钢</w:t>
            </w:r>
          </w:p>
        </w:tc>
      </w:tr>
      <w:tr w14:paraId="16B64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20A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13-0435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A45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20250513-0435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19A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单眼鼓风灶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73A3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1150*1150*800,1、炉体采用304不锈钢板2、炉面：炉面采用其1.5MM厚的不锈钢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板，主台面和炒围，尾围采用一次成形，炉面底层采用10mm厚耐热硅酸铝岩板材隔</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热.前面板、侧板、立面板采用1.2mm不锈钢</w:t>
            </w:r>
          </w:p>
        </w:tc>
      </w:tr>
      <w:tr w14:paraId="45AF7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480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13-0436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ECF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20250513-0436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2E1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单眼鼓风灶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647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1150*1150*800,1、炉体采用304不锈钢板2、炉面：炉面采用其1.5MM厚的不锈钢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板，主台面和炒围，尾围采用一次成形，炉面底层采用10mm厚耐热硅酸铝岩板材隔</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热.前面板、侧板、立面板采用1.2mm不锈钢</w:t>
            </w:r>
          </w:p>
        </w:tc>
      </w:tr>
      <w:tr w14:paraId="64124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66F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13-0437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2CE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20250513-0437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C66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单眼鼓风灶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E54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1150*1150*800,1、炉体采用304不锈钢板2、炉面：炉面采用其1.5MM厚的不锈钢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板，主台面和炒围，尾围采用一次成形，炉面底层采用10mm厚耐热硅酸铝岩板材隔</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热.前面板、侧板、立面板采用1.2mm不锈钢</w:t>
            </w:r>
          </w:p>
        </w:tc>
      </w:tr>
      <w:tr w14:paraId="08440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B12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13-0438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26A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20250513-0438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29F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单眼鼓风灶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1B2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1150*1150*800,1、炉体采用304不锈钢板2、炉面：炉面采用其1.5MM厚的不锈钢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板，主台面和炒围，尾围采用一次成形，炉面底层采用10mm厚耐热硅酸铝岩板材隔</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热.前面板、侧板、立面板采用1.2mm不锈钢</w:t>
            </w:r>
          </w:p>
        </w:tc>
      </w:tr>
      <w:tr w14:paraId="2C670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38B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13-0439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108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20250513-0439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570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运水烟罩</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A94E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16000*1600*500厂制品；采用宝钢优质不锈钢结构1、罩体材料：采用优质不锈钢拉丝板材2、烟罩的前板厚1.0mm。  （一套80198.09元，25.6㎡）</w:t>
            </w:r>
          </w:p>
        </w:tc>
      </w:tr>
      <w:tr w14:paraId="282B6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6D7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13-0440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6F3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20250513-0440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D37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油网烟罩</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134A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1、全部面板采用304#不锈钢拉丝板制作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2、罩体材料为1.0mm不锈钢</w:t>
            </w:r>
          </w:p>
        </w:tc>
      </w:tr>
      <w:tr w14:paraId="053F6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952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13-0441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E20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20250513-0441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59C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FDD6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1、采用1.5厚38*38方管不锈钢方管制作；1500*500*300厂制品</w:t>
            </w:r>
          </w:p>
        </w:tc>
      </w:tr>
      <w:tr w14:paraId="55103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A9E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13-0442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E7D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20250513-0442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2E4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CBA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1、采用1.5厚38*38方管不锈钢方管制作；1500*500*300厂制品</w:t>
            </w:r>
          </w:p>
        </w:tc>
      </w:tr>
      <w:tr w14:paraId="199F9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BBA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13-0443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F31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20250513-0443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89D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015C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1、采用1.5厚38*38方管不锈钢方管制作；1500*500*300厂制品</w:t>
            </w:r>
          </w:p>
        </w:tc>
      </w:tr>
      <w:tr w14:paraId="0D724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C48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13-0444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001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20250513-0444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A8E5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282A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1、采用1.5厚38*38方管不锈钢方管制作；1500*500*300厂制品</w:t>
            </w:r>
          </w:p>
        </w:tc>
      </w:tr>
      <w:tr w14:paraId="31410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D69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13-0445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992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20250513-0445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5B1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三槽水池</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A5CE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1500*600*800厂制品；1、全部采用304不锈钢结构，满足卫生和清洁要求2、台面及池体采用不锈钢拉丝厚SUS304#1.5mm厚不锈钢板</w:t>
            </w:r>
          </w:p>
        </w:tc>
      </w:tr>
      <w:tr w14:paraId="6339C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E0B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13-0446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C17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20250513-0446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CD6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不锈钢三层餐车</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A243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1、台面采用SUS304材质，厚度≥1.2mm不锈钢，侧板采用SUS304材质，厚度≥0.8mm;</w:t>
            </w:r>
          </w:p>
        </w:tc>
      </w:tr>
      <w:tr w14:paraId="6F792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6B4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13-0447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760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20250513-0447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5D5B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不锈钢三层餐车</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0A608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1、台面采用SUS304材质，厚度≥1.2mm不锈钢，侧板采用SUS304材质，厚度≥0.8mm;</w:t>
            </w:r>
          </w:p>
        </w:tc>
      </w:tr>
      <w:tr w14:paraId="4F6B2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FFC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13-0448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8EA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20250513-0448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561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不锈钢三层餐车</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86F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1、台面采用SUS304材质，厚度≥1.2mm不锈钢，侧板采用SUS304材质，厚度≥0.8mm;</w:t>
            </w:r>
          </w:p>
        </w:tc>
      </w:tr>
      <w:tr w14:paraId="720C4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C403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13-0449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88C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20250513-0449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D55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不锈钢三层餐车</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F60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1、台面采用SUS304材质，厚度≥1.2mm不锈钢，侧板采用SUS304材质，厚度≥0.8mm;</w:t>
            </w:r>
          </w:p>
        </w:tc>
      </w:tr>
      <w:tr w14:paraId="47B57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4A9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13-0450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64F2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20250513-0450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6FD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不锈钢三层餐车</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4B86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1、台面采用SUS304材质，厚度≥1.2mm不锈钢，侧板采用SUS304材质，厚度≥0.8mm;</w:t>
            </w:r>
          </w:p>
        </w:tc>
      </w:tr>
      <w:tr w14:paraId="0B009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4B6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13-0452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FD0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20250513-0452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44E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自助充值消费终端</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A055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采用安卓操作系统（Android 7.1及以上），识别方式：刷脸、刷卡、扫码，内置双目人脸识别摄像头200万像素、读卡器和扬声器，人脸识别：人脸模板库容量2万人，识别准确率99.9%，人脸识别时间小于0.5秒。</w:t>
            </w:r>
          </w:p>
        </w:tc>
      </w:tr>
      <w:tr w14:paraId="4523F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63F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13-0453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68C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20250513-0453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B52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自助充值消费终端</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3845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采用安卓操作系统（Android 7.1及以上），识别方式：刷脸、刷卡、扫码，内置双目人脸识别摄像头200万像素、读卡器和扬声器，人脸识别：人脸模板库容量2万人，识别准确率99.9%，人脸识别时间小于0.5秒。</w:t>
            </w:r>
          </w:p>
        </w:tc>
      </w:tr>
      <w:tr w14:paraId="117AD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28D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13-0454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C32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20250513-0454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A2E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人脸识别消费一体机</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EBB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具有人脸识别消费机，人脸库容量2万人、识别时间0.5秒，识别准确率99.9%，刷卡识别：卡识别距离50MM、识别时间0.5秒，识别区域直径45MM，扫码识别：实现扫码付款支付方式，具备支持内部二维码。双显示屏，显示屏尺寸15.6寸，显示屏的分辨率1024*768；8、操作屏采用电容触摸屏，多点触控；</w:t>
            </w:r>
          </w:p>
        </w:tc>
      </w:tr>
      <w:tr w14:paraId="7EDB2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FD9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13-0455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674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20250513-0455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FE2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人脸识别消费一体机</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5E8E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具有人脸识别消费机，人脸库容量2万人、识别时间0.5秒，识别准确率99.9%，刷卡识别：卡识别距离50MM、识别时间0.5秒，识别区域直径45MM，扫码识别：实现扫码付款支付方式，具备支持内部二维码。双显示屏，显示屏尺寸15.6寸，显示屏的分辨率1024*768；8、操作屏采用电容触摸屏，多点触控；</w:t>
            </w:r>
          </w:p>
        </w:tc>
      </w:tr>
      <w:tr w14:paraId="2BA59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FCD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13-0456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CDA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20250513-0456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8E0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人脸识别消费一体机</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0FE9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具有人脸识别消费机，人脸库容量2万人、识别时间0.5秒，识别准确率99.9%，刷卡识别：卡识别距离50MM、识别时间0.5秒，识别区域直径45MM，扫码识别：实现扫码付款支付方式，具备支持内部二维码。双显示屏，显示屏尺寸15.6寸，显示屏的分辨率1024*768；8、操作屏采用电容触摸屏，多点触控；</w:t>
            </w:r>
          </w:p>
        </w:tc>
      </w:tr>
      <w:tr w14:paraId="055A8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CE0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13-0457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3C3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20250513-0457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FF5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人脸识别消费一体机</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F4F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具有人脸识别消费机，人脸库容量2万人、识别时间0.5秒，识别准确率99.9%，刷卡识别：卡识别距离50MM、识别时间0.5秒，识别区域直径45MM，扫码识别：实现扫码付款支付方式，具备支持内部二维码。双显示屏，显示屏尺寸15.6寸，显示屏的分辨率1024*768；8、操作屏采用电容触摸屏，多点触控；</w:t>
            </w:r>
          </w:p>
        </w:tc>
      </w:tr>
      <w:tr w14:paraId="1FC10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5EF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13-0458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CF5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20250513-0458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B1B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人脸识别消费一体机</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4BB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具有人脸识别消费机，人脸库容量2万人、识别时间0.5秒，识别准确率99.9%，刷卡识别：卡识别距离50MM、识别时间0.5秒，识别区域直径45MM，扫码识别：实现扫码付款支付方式，具备支持内部二维码。双显示屏，显示屏尺寸15.6寸，显示屏的分辨率1024*768；8、操作屏采用电容触摸屏，多点触控；</w:t>
            </w:r>
          </w:p>
        </w:tc>
      </w:tr>
      <w:tr w14:paraId="47B5C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32D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13-0459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A07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20250513-0459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954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人脸识别消费一体机</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7C1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具有人脸识别消费机，人脸库容量2万人、识别时间0.5秒，识别准确率99.9%，刷卡识别：卡识别距离50MM、识别时间0.5秒，识别区域直径45MM，扫码识别：实现扫码付款支付方式，具备支持内部二维码。双显示屏，显示屏尺寸15.6寸，显示屏的分辨率1024*768；8、操作屏采用电容触摸屏，多点触控；</w:t>
            </w:r>
          </w:p>
        </w:tc>
      </w:tr>
      <w:tr w14:paraId="4790E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B76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13-0461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8D8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20250513-0461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90B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人脸识别消费一体机</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C749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具有人脸识别消费机，人脸库容量2万人、识别时间0.5秒，识别准确率99.9%，刷卡识别：卡识别距离50MM、识别时间0.5秒，识别区域直径45MM，扫码识别：实现扫码付款支付方式，具备支持内部二维码。双显示屏，显示屏尺寸15.6寸，显示屏的分辨率1024*768；8、操作屏采用电容触摸屏，多点触控；</w:t>
            </w:r>
          </w:p>
        </w:tc>
      </w:tr>
      <w:tr w14:paraId="45F71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128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13-0462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8EC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20250513-0462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F3D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人脸识别消费一体机</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2A1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具有人脸识别消费机，人脸库容量2万人、识别时间0.5秒，识别准确率99.9%，刷卡识别：卡识别距离50MM、识别时间0.5秒，识别区域直径45MM，扫码识别：实现扫码付款支付方式，具备支持内部二维码。双显示屏，显示屏尺寸15.6寸，显示屏的分辨率1024*768；8、操作屏采用电容触摸屏，多点触控；</w:t>
            </w:r>
          </w:p>
        </w:tc>
      </w:tr>
      <w:tr w14:paraId="65011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9AB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13-0463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EF3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20250513-0463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3BF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双开门消毒柜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298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1、304不锈钢大容量设计，消毒、保温双重功能及消毒烘干保险装置。特设45分钟自动断电装置安全保障</w:t>
            </w:r>
          </w:p>
        </w:tc>
      </w:tr>
      <w:tr w14:paraId="1B12A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48D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13-0464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7AD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20250513-0464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D40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双开门消毒柜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3B81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1、304不锈钢大容量设计，消毒、保温双重功能及消毒烘干保险装置。特设45分钟自动断电装置安全保障</w:t>
            </w:r>
          </w:p>
        </w:tc>
      </w:tr>
      <w:tr w14:paraId="48CF1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E6F3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13-0465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8AD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20250513-0465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104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双开门消毒柜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473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1、304不锈钢大容量设计，消毒、保温双重功能及消毒烘干保险装置。特设45分钟自动断电装置安全保障</w:t>
            </w:r>
          </w:p>
        </w:tc>
      </w:tr>
      <w:tr w14:paraId="4FF6C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86EA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13-0466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636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20250513-0466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F2A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双开门消毒柜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85B3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1、304不锈钢大容量设计，消毒、保温双重功能及消毒烘干保险装置。特设45分钟自动断电装置安全保障</w:t>
            </w:r>
          </w:p>
        </w:tc>
      </w:tr>
      <w:tr w14:paraId="7A1FB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D85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13-0467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7AB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20250513-0467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A47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双开门消毒柜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86A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1、304不锈钢大容量设计，消毒、保温双重功能及消毒烘干保险装置。特设45分钟自动断电装置安全保障</w:t>
            </w:r>
          </w:p>
        </w:tc>
      </w:tr>
      <w:tr w14:paraId="78F52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F77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13-0468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D40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20250513-0468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A80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单槽水池</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F903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1200*750*800厂制品；1、全部采用304#不锈钢拉丝板制作2、台面采用1.5mm厚不锈钢板制作，并同样采用1.5mm厚度槽型加强筋加强</w:t>
            </w:r>
          </w:p>
        </w:tc>
      </w:tr>
      <w:tr w14:paraId="72065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EC7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13-0469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2F8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20250513-0469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226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单槽水池</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FBCE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1200*750*800厂制品；1、全部采用304#不锈钢拉丝板制作2、台面采用1.5mm厚不锈钢板制作，并同样采用1.5mm厚度槽型加强筋加强</w:t>
            </w:r>
          </w:p>
        </w:tc>
      </w:tr>
      <w:tr w14:paraId="23226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EB1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13-0470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9C7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20250513-0470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2DC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单槽水池</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B074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1200*750*800厂制品；1、全部采用304#不锈钢拉丝板制作2、台面采用1.5mm厚不锈钢板制作，并同样采用1.5mm厚度槽型加强筋加强</w:t>
            </w:r>
          </w:p>
        </w:tc>
      </w:tr>
      <w:tr w14:paraId="4A817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F06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13-0471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6FF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20250513-0471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CC9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单槽水池</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AEE9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1200*750*800厂制品；1、全部采用304#不锈钢拉丝板制作2、台面采用1.5mm厚不锈钢板制作，并同样采用1.5mm厚度槽型加强筋加强</w:t>
            </w:r>
          </w:p>
        </w:tc>
      </w:tr>
      <w:tr w14:paraId="0655E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A0A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13-0472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984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20250513-0472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8DB3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四眼鼓风灶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C043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1、炉体采用304不锈钢板2、炉面：炉面采用其1.5MM厚的不锈钢板，主台面和炒围，尾围采用一次成形，炉面底层采用10mm厚耐热硅酸铝岩板材隔热，前面板、侧板、立面板采用1.2mm不锈钢</w:t>
            </w:r>
          </w:p>
        </w:tc>
      </w:tr>
      <w:tr w14:paraId="5E2B2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B62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13-0473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F15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20250513-0473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E2B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四眼鼓风灶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CFB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1、炉体采用304不锈钢板2、炉面：炉面采用其1.5MM厚的不锈钢板，主台面和炒围，尾围采用一次成形，炉面底层采用10mm厚耐热硅酸铝岩板材隔热，前面板、侧板、立面板采用1.2mm不锈钢</w:t>
            </w:r>
          </w:p>
        </w:tc>
      </w:tr>
      <w:tr w14:paraId="7EEBF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C643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13-0474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A5D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20250513-0474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DCE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四眼鼓风灶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A3A4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1、炉体采用304不锈钢板2、炉面：炉面采用其1.5MM厚的不锈钢板，主台面和炒围，尾围采用一次成形，炉面底层采用10mm厚耐热硅酸铝岩板材隔热，前面板、侧板、立面板采用1.2mm不锈钢</w:t>
            </w:r>
          </w:p>
        </w:tc>
      </w:tr>
      <w:tr w14:paraId="174D7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F41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13-0475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98F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20250513-0475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9A1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四眼鼓风灶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7661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1、炉体采用304不锈钢板2、炉面：炉面采用其1.5MM厚的不锈钢板，主台面和炒围，尾围采用一次成形，炉面底层采用10mm厚耐热硅酸铝岩板材隔热，前面板、侧板、立面板采用1.2mm不锈钢</w:t>
            </w:r>
          </w:p>
        </w:tc>
      </w:tr>
      <w:tr w14:paraId="34E98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169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13-0476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485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20250513-0476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962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上滑道单开柜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C6C1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1800*750*800厂制品； 1、全部台面采用1.5mm厚304不锈钢板，底衬304不锈钢加强梁2、柱脚采用38*38*1.5mm厚不锈钢方管</w:t>
            </w:r>
          </w:p>
        </w:tc>
      </w:tr>
      <w:tr w14:paraId="3F496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95E8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13-0477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CAD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20250513-0477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2B4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上滑道单开柜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5B2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1800*750*800厂制品； 1、全部台面采用1.5mm厚304不锈钢板，底衬304不锈钢加强梁2、柱脚采用38*38*1.5mm厚不锈钢方管</w:t>
            </w:r>
          </w:p>
        </w:tc>
      </w:tr>
      <w:tr w14:paraId="72976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C88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13-0478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334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20250513-0478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A49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上滑道单开柜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0B8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1800*750*800厂制品； 1、全部台面采用1.5mm厚304不锈钢板，底衬304不锈钢加强梁2、柱脚采用38*38*1.5mm厚不锈钢方管</w:t>
            </w:r>
          </w:p>
        </w:tc>
      </w:tr>
      <w:tr w14:paraId="62423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715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13-0479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B88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20250513-0479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C1B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上滑道单开柜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8697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1800*750*800厂制品； 1、全部台面采用1.5mm厚304不锈钢板，底衬304不锈钢加强梁2、柱脚采用38*38*1.5mm厚不锈钢方管</w:t>
            </w:r>
          </w:p>
        </w:tc>
      </w:tr>
      <w:tr w14:paraId="7EE96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B56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13-0480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4F5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20250513-0480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C4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466E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B1炒菜间；B1易损间；B1面点间   共3台  全部采用304#不锈钢拉丝板制作2、层架全部为1.5mm厚不锈钢结构，</w:t>
            </w:r>
          </w:p>
        </w:tc>
      </w:tr>
      <w:tr w14:paraId="74824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D4B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13-0481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257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20250513-0481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4EC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E8BD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全部采用304#不锈钢拉丝板制作2、层架全部为1.5mm厚不锈钢结构，</w:t>
            </w:r>
          </w:p>
        </w:tc>
      </w:tr>
      <w:tr w14:paraId="1C308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3F3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13-0482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C6A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20250513-0482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412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B06D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全部采用304#不锈钢拉丝板制作2、层架全部为1.5mm厚不锈钢结构，</w:t>
            </w:r>
          </w:p>
        </w:tc>
      </w:tr>
      <w:tr w14:paraId="30728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F8E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13-0483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23A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20250513-0483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8AF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3C8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全部采用304#不锈钢拉丝板制作2、层架全部为1.5mm厚不锈钢结构，</w:t>
            </w:r>
          </w:p>
        </w:tc>
      </w:tr>
      <w:tr w14:paraId="4A92A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9FA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13-0484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21C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20250513-0484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ED8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147F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全部采用304#不锈钢拉丝板制作2、层架全部为1.5mm厚不锈钢结构，</w:t>
            </w:r>
          </w:p>
        </w:tc>
      </w:tr>
      <w:tr w14:paraId="33E04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1A5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13-0485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9A9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20250513-0485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CAD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FA5C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全部采用304#不锈钢拉丝板制作2、层架全部为1.5mm厚不锈钢结构，</w:t>
            </w:r>
          </w:p>
        </w:tc>
      </w:tr>
      <w:tr w14:paraId="43637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28E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13-0486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172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20250513-0486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19A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2993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全部采用304#不锈钢拉丝板制作2、层架全部为1.5mm厚不锈钢结构，</w:t>
            </w:r>
          </w:p>
        </w:tc>
      </w:tr>
      <w:tr w14:paraId="371D4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C93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13-0487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1F6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20250513-0487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95C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AB7B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全部采用304#不锈钢拉丝板制作2、层架全部为1.5mm厚不锈钢结构，</w:t>
            </w:r>
          </w:p>
        </w:tc>
      </w:tr>
      <w:tr w14:paraId="1F385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E37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13-0488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AE2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20250513-0488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0B2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D56F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全部采用304#不锈钢拉丝板制作2、层架全部为1.5mm厚不锈钢结构，</w:t>
            </w:r>
          </w:p>
        </w:tc>
      </w:tr>
      <w:tr w14:paraId="71BB8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A16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13-0489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9E8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20250513-0489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8FF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BA41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全部采用304#不锈钢拉丝板制作2、层架全部为1.5mm厚不锈钢结构，</w:t>
            </w:r>
          </w:p>
        </w:tc>
      </w:tr>
      <w:tr w14:paraId="07CF6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113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13-0490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D1E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20250513-0490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A15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34E6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全部采用304#不锈钢拉丝板制作2、层架全部为1.5mm厚不锈钢结构，</w:t>
            </w:r>
          </w:p>
        </w:tc>
      </w:tr>
      <w:tr w14:paraId="6DB48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3C1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13-0491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CEF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20250513-0491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6AC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94D7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全部采用304#不锈钢拉丝板制作2、层架全部为1.5mm厚不锈钢结构，</w:t>
            </w:r>
          </w:p>
        </w:tc>
      </w:tr>
      <w:tr w14:paraId="5E61F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68E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13-0492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1CEA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20250513-0492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C8A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9A82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全部采用304#不锈钢拉丝板制作2、层架全部为1.5mm厚不锈钢结构，</w:t>
            </w:r>
          </w:p>
        </w:tc>
      </w:tr>
      <w:tr w14:paraId="7A42E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72F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13-0493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A28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20250513-0493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83C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76145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全部采用304#不锈钢拉丝板制作2、层架全部为1.5mm厚不锈钢结构，</w:t>
            </w:r>
          </w:p>
        </w:tc>
      </w:tr>
      <w:tr w14:paraId="38EA8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2F6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13-0494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DB3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20250513-0494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A97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5687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全部采用304#不锈钢拉丝板制作2、层架全部为1.5mm厚不锈钢结构，</w:t>
            </w:r>
          </w:p>
        </w:tc>
      </w:tr>
      <w:tr w14:paraId="035A4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C4B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13-0495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448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20250513-0495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966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36B5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全部采用304#不锈钢拉丝板制作2、层架全部为1.5mm厚不锈钢结构，</w:t>
            </w:r>
          </w:p>
        </w:tc>
      </w:tr>
      <w:tr w14:paraId="21174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76A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13-0496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578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20250513-0496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0C3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A4AB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全部采用304#不锈钢拉丝板制作2、层架全部为1.5mm厚不锈钢结构，</w:t>
            </w:r>
          </w:p>
        </w:tc>
      </w:tr>
      <w:tr w14:paraId="6E99E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0E8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13-0497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267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20250513-0497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1D2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D029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全部采用304#不锈钢拉丝板制作2、层架全部为1.5mm厚不锈钢结构，</w:t>
            </w:r>
          </w:p>
        </w:tc>
      </w:tr>
      <w:tr w14:paraId="0767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DB5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13-0498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B3F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20250513-0498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8BE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板式货架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E33F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全部采用304#不锈钢拉丝板制作2、层架全部为1.5mm厚不锈钢结构，</w:t>
            </w:r>
          </w:p>
        </w:tc>
      </w:tr>
      <w:tr w14:paraId="05BB4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5C7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13-0499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878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20250513-0499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CF8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四门冰箱</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C6BF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1、采用食品级304不锈钢，电脑板智能控制2、自动回归门设计3、箱体保温层环戊烷发泡剂防火阻燃厚度达60MM</w:t>
            </w:r>
          </w:p>
        </w:tc>
      </w:tr>
      <w:tr w14:paraId="4BA69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8E7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13-0500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2BC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20250513-0500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6C4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四门冰箱</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EC9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1、采用食品级304不锈钢，电脑板智能控制2、自动回归门设计3、箱体保温层环戊烷发泡剂防火阻燃厚度达60MM</w:t>
            </w:r>
          </w:p>
        </w:tc>
      </w:tr>
      <w:tr w14:paraId="63A18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6B7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13-0501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53F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20250513-0501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BD0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四门冰箱</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D839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1、采用食品级304不锈钢，电脑板智能控制2、自动回归门设计3、箱体保温层环戊烷发泡剂防火阻燃厚度达60MM</w:t>
            </w:r>
          </w:p>
        </w:tc>
      </w:tr>
      <w:tr w14:paraId="15793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8A0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13-0502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52D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20250513-0502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4DF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四门冰箱</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607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1、采用食品级304不锈钢，电脑板智能控制2、自动回归门设计3、箱体保温层环戊烷发泡剂防火阻燃厚度达60MM</w:t>
            </w:r>
          </w:p>
        </w:tc>
      </w:tr>
      <w:tr w14:paraId="7B97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FE8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13-0503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42D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20250513-0503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04C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送餐保温车</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BC9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1、AISI304不锈钢制造1.0mm,可拆式托盘 架 ；2、温度范围：+70℃~+80℃,运送过程 可保持食物温度，可承受32℃环境温度；</w:t>
            </w:r>
          </w:p>
        </w:tc>
      </w:tr>
      <w:tr w14:paraId="66BE4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A1B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13-0504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C7C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20250513-0504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B85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送餐保温车</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B2D5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1、AISI304不锈钢制造1.0mm,可拆式托盘 架 ；2、温度范围：+70℃~+80℃,运送过程 可保持食物温度，可承受32℃环境温度；</w:t>
            </w:r>
          </w:p>
        </w:tc>
      </w:tr>
      <w:tr w14:paraId="00AD1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E51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13-0505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3A37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20250513-0505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A83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送餐保温车</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C876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1、AISI304不锈钢制造1.0mm,可拆式托盘 架 ；2、温度范围：+70℃~+80℃,运送过程 可保持食物温度，可承受32℃环境温度；</w:t>
            </w:r>
          </w:p>
        </w:tc>
      </w:tr>
      <w:tr w14:paraId="4DFA2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A16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13-0506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907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20250513-0506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7E0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醒发箱</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BA3D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500*700*1850；KT-RD-15HA；   1、304不锈钢结构，单门，外层发泡保温，智能喷雾，自动温控，恒温恒湿2、功率：3KW/220V3、尺寸500*700*1850</w:t>
            </w:r>
          </w:p>
        </w:tc>
      </w:tr>
      <w:tr w14:paraId="6FA14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250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13-0507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3DE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20250513-0507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671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4格菜墩架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EFD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1、采用优质304#不锈钢拉丝板制作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2、层架全部为1.5mm厚不锈钢结构；             650*400*400厂制品</w:t>
            </w:r>
          </w:p>
        </w:tc>
      </w:tr>
      <w:tr w14:paraId="189F4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3AA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13-0508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EDD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20250513-0508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4BB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4格菜墩架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24E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1、采用优质304#不锈钢拉丝板制作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2、层架全部为1.5mm厚不锈钢结构；             650*400*400厂制品</w:t>
            </w:r>
          </w:p>
        </w:tc>
      </w:tr>
      <w:tr w14:paraId="30B41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020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13-0509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9F4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20250513-0509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13A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4格菜墩架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FFFF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1、采用优质304#不锈钢拉丝板制作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2、层架全部为1.5mm厚不锈钢结构；             650*400*400厂制品</w:t>
            </w:r>
          </w:p>
        </w:tc>
      </w:tr>
      <w:tr w14:paraId="6781B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7CB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13-0510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4D4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20250513-0510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D69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4格菜墩架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A83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1、采用优质304#不锈钢拉丝板制作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2、层架全部为1.5mm厚不锈钢结构；             650*400*400厂制品</w:t>
            </w:r>
          </w:p>
        </w:tc>
      </w:tr>
      <w:tr w14:paraId="3A75D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F2A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13-0511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FD0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20250513-0511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845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4格菜墩架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FEC4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1、采用优质304#不锈钢拉丝板制作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2、层架全部为1.5mm厚不锈钢结构；             650*400*400厂制品</w:t>
            </w:r>
          </w:p>
        </w:tc>
      </w:tr>
      <w:tr w14:paraId="3C3A9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B90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13-0512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5BF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20250513-0512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A5A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电饼铛</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F04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1、功率：5KW*2/380V 2、温度调节范围：0-300℃ 3、限温范围：350℃±20℃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4、防水等级：IPX4</w:t>
            </w:r>
          </w:p>
        </w:tc>
      </w:tr>
      <w:tr w14:paraId="2E11C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E25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13-0513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9D6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20250513-0513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674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电饼铛</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EA2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1、功率：5KW*2/380V 2、温度调节范围：0-300℃ 3、限温范围：350℃±20℃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4、防水等级：IPX4</w:t>
            </w:r>
          </w:p>
        </w:tc>
      </w:tr>
      <w:tr w14:paraId="37DB0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549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13-0514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CA7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20250513-0514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D6A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电饼铛</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0FE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1、功率：5KW*2/380V 2、温度调节范围：0-300℃ 3、限温范围：350℃±20℃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4、防水等级：IPX4</w:t>
            </w:r>
          </w:p>
        </w:tc>
      </w:tr>
      <w:tr w14:paraId="1E6EF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26A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13-0515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9DF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20250513-0515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0B2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电饼铛</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104F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1、功率：5KW*2/380V 2、温度调节范围：0-300℃ 3、限温范围：350℃±20℃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4、防水等级：IPX4</w:t>
            </w:r>
          </w:p>
        </w:tc>
      </w:tr>
      <w:tr w14:paraId="4BE75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A412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13-0516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0FB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20250513-0516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E81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电饼铛</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3A0C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1、功率：5KW*2/380V 2、温度调节范围：0-300℃ 3、限温范围：350℃±20℃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4、防水等级：IPX4</w:t>
            </w:r>
          </w:p>
        </w:tc>
      </w:tr>
      <w:tr w14:paraId="06652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1B3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13-0517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A7D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20250513-0517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09A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双槽水池</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1B77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1、全部采用304#不锈钢拉丝板制作2、台面采用1.5mm厚不锈钢板制作，并同样采用1.5mm厚度槽型加强筋加强</w:t>
            </w:r>
          </w:p>
        </w:tc>
      </w:tr>
      <w:tr w14:paraId="2F0ED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02E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13-0518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7FF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20250513-0518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1BD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双槽水池</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6C3A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1、全部采用304#不锈钢拉丝板制作2、台面采用1.5mm厚不锈钢板制作，并同样采用1.5mm厚度槽型加强筋加强</w:t>
            </w:r>
          </w:p>
        </w:tc>
      </w:tr>
      <w:tr w14:paraId="45C01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55D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13-0519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836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20250513-0519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046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三层电烤箱</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7E8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1、功率：15KW/380V     2、三层六盘烤箱，烘烤温度0-300度</w:t>
            </w:r>
          </w:p>
        </w:tc>
      </w:tr>
      <w:tr w14:paraId="13C86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569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13-0523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E9F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20250513-0523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2D2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刀具消毒柜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BDC9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1、电源：紫外线灯15W/220V,刀具数量：1 0 把</w:t>
            </w:r>
          </w:p>
        </w:tc>
      </w:tr>
      <w:tr w14:paraId="1641C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B18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13-0524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1B7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20250513-0524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EDE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刀具消毒柜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470E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1、电源：紫外线灯15W/220V,刀具数量：1 0 把</w:t>
            </w:r>
          </w:p>
        </w:tc>
      </w:tr>
      <w:tr w14:paraId="0AB90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CA6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13-0525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76E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20250513-0525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355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刀具消毒柜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B07E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1、电源：紫外线灯15W/220V,刀具数量：1 0 把</w:t>
            </w:r>
          </w:p>
        </w:tc>
      </w:tr>
      <w:tr w14:paraId="20915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342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13-0526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ADA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20250513-0526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2A4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刀具消毒柜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193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1、电源：紫外线灯15W/220V,刀具数量：1 0 把</w:t>
            </w:r>
          </w:p>
        </w:tc>
      </w:tr>
      <w:tr w14:paraId="0E45C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A4C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13-0527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9DB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20250513-0527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C7C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刀具消毒柜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907E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1、电源：紫外线灯15W/220V,刀具数量：1 0 把</w:t>
            </w:r>
          </w:p>
        </w:tc>
      </w:tr>
      <w:tr w14:paraId="18FF0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362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13-0528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D71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20250513-0528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369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刀具消毒柜</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0F0B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1、电源：紫外线灯15W/220V,刀具数量：1 0 把</w:t>
            </w:r>
          </w:p>
        </w:tc>
      </w:tr>
      <w:tr w14:paraId="1A76B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143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13-0529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F8E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20250513-0529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DD2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双槽水池</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435D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1、全部采用304#不锈钢拉丝板制作2、台面采用1.5mm厚不锈钢板制作，并同样采用1.5mm厚度槽型加强筋加强</w:t>
            </w:r>
          </w:p>
        </w:tc>
      </w:tr>
      <w:tr w14:paraId="24632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84E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13-0530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AA4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20250513-0530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1BA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双槽水池</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722D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1、全部采用304#不锈钢拉丝板制作2、台面采用1.5mm厚不锈钢板制作，并同样采用1.5mm厚度槽型加强筋加强</w:t>
            </w:r>
          </w:p>
        </w:tc>
      </w:tr>
      <w:tr w14:paraId="24726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0E2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13-0531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95D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20250513-0531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1EB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电热水器</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18DD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1、额定容量：100L2、功率电压：2 Kw、220V3、金圭特护内胆，金圭特护加热棒</w:t>
            </w:r>
          </w:p>
        </w:tc>
      </w:tr>
      <w:tr w14:paraId="2A46C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06C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13-0532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A90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20250513-0532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9BF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美的热水器</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4EAA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1、额定容量：100L2、功率电压：2 Kw、220V3、金圭特护内胆，金圭特护加热棒</w:t>
            </w:r>
          </w:p>
        </w:tc>
      </w:tr>
      <w:tr w14:paraId="1994B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413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13-0533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082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20250513-0533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E8F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美的热水器</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76B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1、额定容量：100L2、功率电压：2 Kw、220V3、金圭特护内胆，金圭特护加热棒</w:t>
            </w:r>
          </w:p>
        </w:tc>
      </w:tr>
      <w:tr w14:paraId="2D807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9B3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13-0534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3DF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20250513-0534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F80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平板推车</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5910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1、台面采用SUS304材质，厚度≥1.2mm  不锈钢，侧板采用SUS304材质，厚度≥0.8mm;1400*500*350</w:t>
            </w:r>
          </w:p>
        </w:tc>
      </w:tr>
      <w:tr w14:paraId="18206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099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13-0535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15C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20250513-0535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CB5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平板推车</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757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1、台面采用SUS304材质，厚度≥1.2mm  不锈钢，侧板采用SUS304材质，厚度≥0.8mm;1400*500*350</w:t>
            </w:r>
          </w:p>
        </w:tc>
      </w:tr>
      <w:tr w14:paraId="13A3E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0D7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13-0536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451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20250513-0536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160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平板推车</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C608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1、台面采用SUS304材质，厚度≥1.2mm  不锈钢，侧板采用SUS304材质，厚度≥0.8mm;1400*500*350</w:t>
            </w:r>
          </w:p>
        </w:tc>
      </w:tr>
      <w:tr w14:paraId="457E4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750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13-0537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A7C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20250513-0537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8DF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平板推车</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B9AD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1、台面采用SUS304材质，厚度≥1.2mm  不锈钢，侧板采用SUS304材质，厚度≥0.8mm;1400*500*350</w:t>
            </w:r>
          </w:p>
        </w:tc>
      </w:tr>
      <w:tr w14:paraId="00295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5DA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13-0538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914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20250513-0538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E9D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平板推车</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7F52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1、台面采用SUS304材质，厚度≥1.2mm  不锈钢，侧板采用SUS304材质，厚度≥0.8mm;1400*500*350</w:t>
            </w:r>
          </w:p>
        </w:tc>
      </w:tr>
      <w:tr w14:paraId="1202C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FEB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13-0539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AA8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20250513-0539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665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木案板工作台</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262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1、台面为松木2、腿采用DN50*1.5mm不锈钢管；</w:t>
            </w:r>
          </w:p>
        </w:tc>
      </w:tr>
      <w:tr w14:paraId="3C8C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4D3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13-0540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B350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20250513-0540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D67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木案板工作台</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4AC6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1、台面为松木2、腿采用DN50*1.5mm不锈钢管；</w:t>
            </w:r>
          </w:p>
        </w:tc>
      </w:tr>
      <w:tr w14:paraId="4F765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6B5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13-0541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7A1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20250513-0541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DC4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木案板工作台</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4D66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1、台面为松木2、腿采用DN50*1.5mm不锈钢管；</w:t>
            </w:r>
          </w:p>
        </w:tc>
      </w:tr>
      <w:tr w14:paraId="0164C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F30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13-0542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3CD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20250513-0542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EF8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三槽水池</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C73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1、全部采用304不锈钢结构，满足卫生和清洁要求2、台面及池体采用不锈钢拉丝厚SUS304#1.5mm厚不锈钢板</w:t>
            </w:r>
          </w:p>
        </w:tc>
      </w:tr>
      <w:tr w14:paraId="72FB6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BCA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13-0543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707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20250513-0543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4B8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三槽水池</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CA28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1、全部采用304不锈钢结构，满足卫生和清洁要求2、台面及池体采用不锈钢拉丝厚SUS304#1.5mm厚不锈钢板</w:t>
            </w:r>
          </w:p>
        </w:tc>
      </w:tr>
      <w:tr w14:paraId="3CBC3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966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13-0544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CCB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20250513-0544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6CA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三槽水池</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B67A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1、全部采用304不锈钢结构，满足卫生和清洁要求2、台面及池体采用不锈钢拉丝厚SUS304#1.5mm厚不锈钢板</w:t>
            </w:r>
          </w:p>
        </w:tc>
      </w:tr>
      <w:tr w14:paraId="0B344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B49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13-0545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F90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20250513-0545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8373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双层工作台</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3D9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1、全部台面采用304#不锈钢拉丝板制作2、工作台面采用1.5mm不锈钢板制造，台面下采用1.2mm不锈钢槽型补强撑加固</w:t>
            </w:r>
          </w:p>
        </w:tc>
      </w:tr>
      <w:tr w14:paraId="65E24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435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13-0546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0DA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20250513-0546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C2A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双层工作台</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13D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1、全部台面采用304#不锈钢拉丝板制作2、工作台面采用1.5mm不锈钢板制造，台面下采用1.2mm不锈钢槽型补强撑加固</w:t>
            </w:r>
          </w:p>
        </w:tc>
      </w:tr>
      <w:tr w14:paraId="20FF4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ED6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13-0547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33E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20250513-0547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B82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双层工作台</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E634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1、全部台面采用304#不锈钢拉丝板制作2、工作台面采用1.5mm不锈钢板制造，台面下采用1.2mm不锈钢槽型补强撑加固</w:t>
            </w:r>
          </w:p>
        </w:tc>
      </w:tr>
      <w:tr w14:paraId="5E9D3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5E1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13-0548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C3E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20250513-0548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8D7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双层工作台</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0CD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1、全部台面采用304#不锈钢拉丝板制作2、工作台面采用1.5mm不锈钢板制造，台面下采用1.2mm不锈钢槽型补强撑加固</w:t>
            </w:r>
          </w:p>
        </w:tc>
      </w:tr>
      <w:tr w14:paraId="210F6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F04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13-0549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AD3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20250513-0549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929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双层工作台</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24BB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1、全部台面采用304#不锈钢拉丝板制作2、工作台面采用1.5mm不锈钢板制造，台面下采用1.2mm不锈钢槽型补强撑加固</w:t>
            </w:r>
          </w:p>
        </w:tc>
      </w:tr>
      <w:tr w14:paraId="6DC47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342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13-0550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3CD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20250513-0550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08D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双层工作台</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5BD4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1、全部台面采用304#不锈钢拉丝板制作2、工作台面采用1.5mm不锈钢板制造，台面下采用1.2mm不锈钢槽型补强撑加固</w:t>
            </w:r>
          </w:p>
        </w:tc>
      </w:tr>
      <w:tr w14:paraId="4E89A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547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13-0551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55F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20250513-0551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EE3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双层工作台</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C261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1、全部台面采用304#不锈钢拉丝板制作2、工作台面采用1.5mm不锈钢板制造，台面下采用1.2mm不锈钢槽型补强撑加固</w:t>
            </w:r>
          </w:p>
        </w:tc>
      </w:tr>
      <w:tr w14:paraId="742B9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C2E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13-0552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31F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20250513-0552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273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双层工作台</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3610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1、全部台面采用304#不锈钢拉丝板制作2、工作台面采用1.5mm不锈钢板制造，台面下采用1.2mm不锈钢槽型补强撑加固</w:t>
            </w:r>
          </w:p>
        </w:tc>
      </w:tr>
      <w:tr w14:paraId="33A38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9EB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13-0553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76F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20250513-0553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456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双层工作台</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42CB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1、全部台面采用304#不锈钢拉丝板制作2、工作台面采用1.5mm不锈钢板制造，台面下采用1.2mm不锈钢槽型补强撑加固</w:t>
            </w:r>
          </w:p>
        </w:tc>
      </w:tr>
      <w:tr w14:paraId="51775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17B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13-0555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C2D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20250513-0555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E53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屉架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3E5E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1、采用优质304不锈钢拉丝板制作2、层架全部为1.5mm厚不锈钢结构</w:t>
            </w:r>
          </w:p>
        </w:tc>
      </w:tr>
      <w:tr w14:paraId="0C6DF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AEA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13-0556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1DB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20250513-0556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FAB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屉架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7485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1、采用优质304不锈钢拉丝板制作2、层架全部为1.5mm厚不锈钢结构</w:t>
            </w:r>
          </w:p>
        </w:tc>
      </w:tr>
      <w:tr w14:paraId="46582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632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13-0557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489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20250513-0557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26B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屉架</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972B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1、采用优质304不锈钢拉丝板制作2、层架全部为1.5mm厚不锈钢结构</w:t>
            </w:r>
          </w:p>
        </w:tc>
      </w:tr>
      <w:tr w14:paraId="3565D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040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13-0563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A75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20250513-0563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D34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UPS不间断电源（C2K）</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DAF3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功率2KW，延时30分钟</w:t>
            </w:r>
          </w:p>
        </w:tc>
      </w:tr>
      <w:tr w14:paraId="1352E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9E7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13-0564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32E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20250513-0564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1D6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UPS不间断电源（C2K）</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06C5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功率2KW，延时30分钟</w:t>
            </w:r>
          </w:p>
        </w:tc>
      </w:tr>
      <w:tr w14:paraId="1EB46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D46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13-0566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DC8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20250513-0566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DAD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75寸液晶监视器</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FAC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拼接尺寸：75 英寸，背光类型：LED，屏幕比例：16:9</w:t>
            </w:r>
          </w:p>
        </w:tc>
      </w:tr>
      <w:tr w14:paraId="3E597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181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13-0568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487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20250513-0568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7AB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55寸液晶监视器</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270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拼接尺寸：55 英寸，背光类型：LED ，屏幕比例：16:9</w:t>
            </w:r>
          </w:p>
        </w:tc>
      </w:tr>
      <w:tr w14:paraId="150CD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9D0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13-0569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6CC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20250513-0569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28D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55寸液晶监视器</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CB1B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拼接尺寸：55 英寸，背光类型：LED ，屏幕比例：16:9</w:t>
            </w:r>
          </w:p>
        </w:tc>
      </w:tr>
      <w:tr w14:paraId="215E3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C23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13-0570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435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20250513-0570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0B2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55寸液晶监视器</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F28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拼接尺寸：55 英寸，背光类型：LED ，屏幕比例：16:9</w:t>
            </w:r>
          </w:p>
        </w:tc>
      </w:tr>
      <w:tr w14:paraId="1618F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A19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13-0571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972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20250513-0571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65D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55寸液晶监视器</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8C23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拼接尺寸：55 英寸，背光类型：LED ，屏幕比例：16:9</w:t>
            </w:r>
          </w:p>
        </w:tc>
      </w:tr>
      <w:tr w14:paraId="07676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219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13-0574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FDF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20250613-0574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CDD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油烟净化器</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077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YB-JD-22，22000㎡/h</w:t>
            </w:r>
          </w:p>
        </w:tc>
      </w:tr>
      <w:tr w14:paraId="461D1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034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13-0575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697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20250613-0575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141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油烟净化器</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C3F9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YB-JD-4，4000㎡/h</w:t>
            </w:r>
          </w:p>
        </w:tc>
      </w:tr>
      <w:tr w14:paraId="7F00A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6E4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13-0576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52C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20251213-0576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35D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燃气报警器</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1840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安信AX200</w:t>
            </w:r>
          </w:p>
        </w:tc>
      </w:tr>
      <w:tr w14:paraId="751BA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757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14-3223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16C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20091114-3223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E26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豪华电动餐台</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9F23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3.0米(国宴)</w:t>
            </w:r>
          </w:p>
        </w:tc>
      </w:tr>
      <w:tr w14:paraId="117ED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BEB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14-3224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889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20091114-3224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A72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简易餐台</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1DF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1.6米(国宴)</w:t>
            </w:r>
          </w:p>
        </w:tc>
      </w:tr>
      <w:tr w14:paraId="1F03B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A09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14-3225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5DC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20091114-3225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411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简易餐台</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FED3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2.0米(国宴)</w:t>
            </w:r>
          </w:p>
        </w:tc>
      </w:tr>
      <w:tr w14:paraId="627DA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907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14-9152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BA3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20250614-9152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243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87F7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68F1C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EF1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14-9153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29E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20250614-9153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788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9BB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66FB3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15D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14-9154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BAA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20250614-9154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4B8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B4AD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6CD75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AC6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14-9155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F8F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20250614-9155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E59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3624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30ABC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B67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14-9156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943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20250614-9156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3ED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471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73D65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FB0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14-9157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457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20250614-9157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4E9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80C6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27454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8D27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14-9158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F4C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20250614-9158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B5D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2BE8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41CB6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37D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14-9159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FD1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20250614-9159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6A3B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62E3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040E9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194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14-9160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533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20250614-9160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BD3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7864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1C6F4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43F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14-9161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CF7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20250614-9161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FA3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7D17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664B9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FF4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14-9162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C0C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20250614-9162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CA9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1B20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443F5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BA9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14-9163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A82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20250614-9163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A1F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9573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4F6AB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661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14-9164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94F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20250614-9164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BFE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615E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32221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02B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14-9165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004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20250614-9165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6DC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53CA7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016C7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2F4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14-9166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239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20250614-9166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D38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D8E7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0BE73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C90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14-9167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042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20250614-9167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117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38003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53268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41E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14-9168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AC4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20250614-9168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41D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1BB9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298D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860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14-9169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9C9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20250614-9169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20C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4B97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6750E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E59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14-9170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44D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20250614-9170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027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944A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2B119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03E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14-9171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6A0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20250614-9171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E4D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915D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51F2C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7E3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14-9172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6B3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20250614-9172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9FF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D480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3162D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D3A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14-9173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075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20250614-9173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F83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7E8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497CD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C38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14-9174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22D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20250614-9174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F56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511C7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29480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6FD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14-9175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24D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20250614-9175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707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E73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42763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A54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14-9176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485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20250614-9176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AD7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4F9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09C29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D78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14-9177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A5C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20250614-9177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653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DBD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39CA8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001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14-9178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28F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20250614-9178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5A6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D59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5038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94E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14-9179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7CB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20250614-9179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888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C3D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49F05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253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14-9180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4B07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20250614-9180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0D9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C15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22241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8EB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14-9181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C50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20250614-9181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A79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B48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0B7D6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54D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14-9182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5A4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20250614-9182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3FF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4CF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5FD1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823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14-9183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A91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20250614-9183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809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037C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0524E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D1F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14-9184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789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20250614-9184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8C1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FBD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1819E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3F0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14-9185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6BB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20250614-9185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73B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D313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092C6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171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14-9186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55C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20250614-9186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064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C2FF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45F1E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6E8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14-9187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E2C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20250614-9187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2A1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D53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073DE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E99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14-9188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E56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20250614-9188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D11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A70C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276B6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DA9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14-9189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753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20250614-9189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03E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B281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0186B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D8C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14-9190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0C18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20250614-9190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092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908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2A699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823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14-9191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6E3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20250614-9191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2AE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E198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7F3E8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BCA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14-9192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C28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20250614-9192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570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82A5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52C4E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C7B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14-9193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C0B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20250614-9193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B46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D05B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03DB6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5C4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14-9194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A9E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20250614-9194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21E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4EC0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38FD9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A74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14-9195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75B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20250614-9195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D32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E7B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417C3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49E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14-9196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F21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20250614-9196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EF2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C4D4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4786D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B00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14-9197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F62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20250614-9197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7DD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F90A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3ECED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729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14-9198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A11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20250614-9198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75A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13F2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5C555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3CA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14-9199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CA2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20250614-9199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F9D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311C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1FE4A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E58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14-9200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EA0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20250614-9200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E42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BED18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17B63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D1F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14-9201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517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20250614-9201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29B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EBDD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5F3CB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384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14-9202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DD2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20250614-9202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DD5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1859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2DDF0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7E7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14-9203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C01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20250614-9203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0AD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42E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1E69A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6F4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14-9204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6DC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20250614-9204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1F4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46F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2F21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863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14-9205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666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20250614-9205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C58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4429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53999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59B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14-9206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0CA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20250614-9206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E7D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D73C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50997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FB5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14-9207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C48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20250614-9207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DCF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38D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3C877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C57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14-9208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596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20250614-9208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17A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3FB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11BE1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BCA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14-9209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36B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20250614-9209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1D2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6802D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05DEB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9F1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14-9210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559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20250614-9210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573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CAF4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1CAF6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986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14-9211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9A5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20250614-9211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285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D54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76A58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053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14-9212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53C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20250614-9212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ECC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A5A4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77173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44D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14-9213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005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20250614-9213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3A6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3529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323A3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BBE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14-9214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49B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20250614-9214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293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C20F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62F66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642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14-9215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C09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20250614-9215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F45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5BF6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4A86C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D34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14-9216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E50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20250614-9216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D0C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C2CA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74E01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9F2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14-9217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072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20250614-9217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50A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0D71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660B8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8FD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14-9218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D61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20250614-9218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16B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0180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78CC1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AC2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14-9219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FB5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20250614-9219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F35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ED0A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5E935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739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14-9220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2E58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20250614-9220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277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01B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67210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4E9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14-9221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FFF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20250614-9221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DE4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6ED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4F2D4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0EA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14-9222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757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20250614-9222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A277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40D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317CA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846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14-9223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EBE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20250614-9223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15F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8065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43420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289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14-9224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A97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20250614-9224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723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C51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677BC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57A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14-9225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A85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20250614-9225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0DA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292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0E62D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CBE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14-9226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5268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20250614-9226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A06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2A7A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08EB9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983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14-9227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7FA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20250614-9227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44D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B1F8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78384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58C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14-9228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2AB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20250614-9228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D093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010E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0AF31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CDB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14-9229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28C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20250614-9229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2D9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C3B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4A186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C25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14-9230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73D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20250614-9230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5EC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42F5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111BE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3E6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14-9231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8B52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20250614-9231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AFF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餐桌（木板）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BA547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高75，铁艺四腿40方管满焊静电粉末喷涂，管壁1.2厚。桌面(1200*700)：E0级实木颗粒板主板2.5厚，国产防火板，加边4.9厚，PVC1.5厚封边皮条热熔胶。</w:t>
            </w:r>
          </w:p>
        </w:tc>
      </w:tr>
      <w:tr w14:paraId="53EC8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6C8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14-9232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A22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20250614-9232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89C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4116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5833E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792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14-9233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767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20250614-9233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AE7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41C9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3CD2B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457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14-9234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55A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20250614-9234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7F2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E41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5801C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07B8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14-9235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C92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20250614-9235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71F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712E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3405C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7BD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14-9236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F82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20250614-9236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D4E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C4B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262F1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C8D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14-9237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5EA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20250614-9237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A77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503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5DA2C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D52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14-9238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48A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20250614-9238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8AF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C768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2C0E3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99A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14-9239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158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20250614-9239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7C4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41AC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5A0BD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242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14-9240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B4D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20250614-9240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1E9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4A6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07527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423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14-9241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8BD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20250614-9241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B7F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581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19D88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99E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14-9242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84F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20250614-9242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FE0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057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53E35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D62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14-9243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EE8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20250614-9243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C01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0A88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006B8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71A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14-9244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049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20250614-9244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4E1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47B4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5EB04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F1C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14-9245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11F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20250614-9245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E40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4E80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797D4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F11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14-9246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5EC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20250614-9246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4CE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C62E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79718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78B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14-9247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FCA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20250614-9247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76D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ED6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3416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DB7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14-9248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EB0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20250614-9248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2A4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992E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114AC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81D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14-9249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05C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20250614-9249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437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8A6A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2BF29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833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14-9250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CB4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20250614-9250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475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A04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61F9D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DAB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14-9251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380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20250614-9251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6A1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9D8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32975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55F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14-9252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17D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20250614-9252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63A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1749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0C1FA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CB5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14-9253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98F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20250614-9253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583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02A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56421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E80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14-9254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EE8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20250614-9254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318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D441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280F1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2AA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14-9255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D84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20250614-9255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E88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94A8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3B846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206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14-9256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C4F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20250614-9256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CFC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588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7509C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8B2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14-9257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925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20250614-9257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4B6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AF66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62884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85C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14-9258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048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20250614-9258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67B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40C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52815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0DB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14-9259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151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20250614-9259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E8A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5165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46085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1AA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14-9260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DEB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20250614-9260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E74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40E0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6DF6C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37D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14-9261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6495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20250614-9261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BAB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336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5E1EB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C7A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14-9262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3B6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20250614-9262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990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0AF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78DB7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372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14-9263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E2B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20250614-9263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883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3191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1F36D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362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14-9264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232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20250614-9264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AB9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ED9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6F6BD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A93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14-9265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ECE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20250614-9265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346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79F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53FF5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A0F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14-9266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5E2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20250614-9266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D68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A49B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5591D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B86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14-9267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2D0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20250614-9267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CE5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62F6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3BB07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0EE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14-9268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7DB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20250614-9268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3AF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4228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10BC8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1E3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14-9269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77D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20250614-9269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2D1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C28D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24910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25E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14-9270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F01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20250614-9270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50D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9AC7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46F0E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E24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14-9271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F4C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20250614-9271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A3F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AAD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3DABD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1B9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14-9272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594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20250614-9272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037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3B99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123C7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CE8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14-9273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749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20250614-9273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594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2BB5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06FDD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2453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14-9274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2B5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20250614-9274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DEB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8FA5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457FE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3A9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14-9275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861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20250614-9275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483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C2D9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76252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132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14-9276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BEF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20250614-9276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470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968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51E2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6DE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14-9277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2A4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20250614-9277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5AE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71C0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54B2A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4ED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14-9278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379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20250614-9278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DCC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4DD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4884C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DBB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14-9279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42E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20250614-9279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EE0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7AC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12C92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FBB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14-9280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DFD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20250614-9280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FF9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5DA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247DF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EEF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14-9281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A44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20250614-9281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47B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FC79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6D4D1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A74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14-9282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A55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20250614-9282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BE8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A5CE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2DFB0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8D3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14-9283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9A9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20250614-9283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7C8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0F4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310F6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20A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14-9284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ADA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20250614-9284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837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85F13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7E0B4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7D4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14-9285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FF0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20250614-9285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DF9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687E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69B38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2E7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14-9286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6A7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20250614-9286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4CB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8944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1C9B3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6C8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14-9287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37E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20250614-9287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021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D8D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51840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FCA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14-9288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1CA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20250614-9288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299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739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2389C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1D1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14-9289</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76D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20250614-9289</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4E7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3229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4176A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CAF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14-9290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9B0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20250614-9290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BD0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08A7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4902F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515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14-9291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8F4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20250614-9291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6AE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CF55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1C350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E04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14-9292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E8D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20250614-9292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2EF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5BA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715B4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A1D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14-9293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73E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20250614-9293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A60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1F21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5BF4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F22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14-9294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951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20250614-9294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092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00C6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4C633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3BD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14-9295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4F6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20250614-9295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A95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F7D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60098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CD3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14-9296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7AA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20250614-9296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4465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8D72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5C254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7CB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14-9297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97E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20250614-9297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F15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1A8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5AAF5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C1D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14-9298</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A33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20250614-9298</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3EC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餐桌（岩板）</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CC9C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高75，铁艺四腿40方管满焊静电粉末喷涂，管壁1.2厚。 桌面(1200*700)：国产伊诺岩板1.2厚，耐磨耐高温易清理，加边石英石3.0厚。</w:t>
            </w:r>
          </w:p>
        </w:tc>
      </w:tr>
      <w:tr w14:paraId="49411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A1C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15-0332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FC6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20091215-0332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953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彩色电视机</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11B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L32F3(海尔)</w:t>
            </w:r>
          </w:p>
        </w:tc>
      </w:tr>
      <w:tr w14:paraId="1B03E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9AF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15-0333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8FA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20091215-0333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226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彩色电视机</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DFDA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L32F3(海尔)</w:t>
            </w:r>
          </w:p>
        </w:tc>
      </w:tr>
      <w:tr w14:paraId="4C4C0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582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15-0334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687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20091215-0334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D19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彩色电视机</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4A8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L55R3(海尔)</w:t>
            </w:r>
          </w:p>
        </w:tc>
      </w:tr>
      <w:tr w14:paraId="5477C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9F1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15-0952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F24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20201115-0952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343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售饭机</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24DD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256m内存，VGA高分彩显</w:t>
            </w:r>
          </w:p>
        </w:tc>
      </w:tr>
      <w:tr w14:paraId="7619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2E4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15-0953</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BD5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20201115-0953</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F7B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售饭机</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215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256m内存，VGA高分彩显</w:t>
            </w:r>
          </w:p>
        </w:tc>
      </w:tr>
      <w:tr w14:paraId="6BBDD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040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15-0954</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9482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20201115-0954</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349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厨余垃圾驿站</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9E8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2.5*1.5*2.6</w:t>
            </w:r>
          </w:p>
        </w:tc>
      </w:tr>
      <w:tr w14:paraId="1FE3E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1A2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15-1105</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F64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20230815-1105</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E63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传菜梯</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5F49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800*800*800</w:t>
            </w:r>
          </w:p>
        </w:tc>
      </w:tr>
      <w:tr w14:paraId="0C236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5FE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15-1106</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47B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20230815-1106</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EDCB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传菜梯</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A69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800*800*800</w:t>
            </w:r>
          </w:p>
        </w:tc>
      </w:tr>
      <w:tr w14:paraId="0361E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F82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15-1107</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EE0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20230815-1107</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232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传菜梯</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795D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1000*1000*1200</w:t>
            </w:r>
          </w:p>
        </w:tc>
      </w:tr>
      <w:tr w14:paraId="7FCCE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CAB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13-0520</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EAF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20250513-0520</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8AD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风幕机</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95D1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1、流线型外观设计；一次成型的优质金属外壳白色结构， 2、采用离心式前弯叶片叶轮结构，配合离效的蜗壳设计，增大风量。</w:t>
            </w:r>
          </w:p>
        </w:tc>
      </w:tr>
      <w:tr w14:paraId="142F0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B52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13-0521</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7FB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20250513-0521</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7A1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风幕机</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5B3F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1、流线型外观设计；一次成型的优质金属外壳白色结构， 2、采用离心式前弯叶片叶轮结构，配合离效的蜗壳设计，增大风量。</w:t>
            </w:r>
          </w:p>
        </w:tc>
      </w:tr>
      <w:tr w14:paraId="534B0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7D8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13-0522</w:t>
            </w:r>
          </w:p>
        </w:tc>
        <w:tc>
          <w:tcPr>
            <w:tcW w:w="11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493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20250513-0522</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E55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风幕机</w:t>
            </w:r>
          </w:p>
        </w:tc>
        <w:tc>
          <w:tcPr>
            <w:tcW w:w="2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9DA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1、流线型外观设计；一次成型的优质金属外壳白色结构， 2、采用离心式前弯叶片叶轮结构，配合离效的蜗壳设计，增大风量。</w:t>
            </w:r>
          </w:p>
        </w:tc>
      </w:tr>
    </w:tbl>
    <w:p w14:paraId="19ED0FF2">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br w:type="page"/>
      </w:r>
    </w:p>
    <w:p w14:paraId="51CF844D">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附件2：设备设施管理责任书</w:t>
      </w:r>
    </w:p>
    <w:p w14:paraId="7A54C97A">
      <w:pPr>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园区管理中心</w:t>
      </w:r>
    </w:p>
    <w:p w14:paraId="739DF3E8">
      <w:pPr>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设备设施管理责任书</w:t>
      </w:r>
    </w:p>
    <w:p w14:paraId="2C72E8DD">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食堂要依据ISO9000认证管理体系，制定设备或设施的管理办法，应保证所内提供设备设施的安全稳定运转，做到正确使用、精心维护、科学管理，努力提高设备完好率，让设备设施保值增值，提高资产使用效益；</w:t>
      </w:r>
    </w:p>
    <w:p w14:paraId="436CF98D">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2、设备的使用管理由食堂指定专人负责操作，其它人员不得随意操作。坚持“谁使用，谁负责、谁维护、谁保养”的原则，确保设备设施的正常运行及使用。</w:t>
      </w:r>
    </w:p>
    <w:p w14:paraId="25D96287">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涉密设备的使用、维护和保养按照涉密的相关规定执行；</w:t>
      </w:r>
    </w:p>
    <w:p w14:paraId="2C71068C">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3、食堂应正确使用、保养设备设施，严格遵守操作规程；</w:t>
      </w:r>
    </w:p>
    <w:p w14:paraId="231945CA">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4、仪器设备指定的使用管理人员应熟练掌握所负责仪器设备的性能、操作规程、维护保养常识，确保仪器设备的正常使用，最大限度地发挥所用仪器设备的效益，提高利用率；</w:t>
      </w:r>
    </w:p>
    <w:p w14:paraId="0B74F49F">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5、认真做好仪器设备的维护保养工作，根据仪器设备的不同性质和要求，要做好防尘、防潮、防震、防腐蚀等工作，“定人保管，定期保养，定位校验”，使仪器设备保持应有的性能和精密度，经常处于完好的可用状态；</w:t>
      </w:r>
    </w:p>
    <w:p w14:paraId="53787D8B">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6、为保证仪器设备的使用寿命，操作时达到经济运行，做到经常保持清洁，保养维护，下班后应关闭电源，由专人负责日常管理工作；</w:t>
      </w:r>
    </w:p>
    <w:p w14:paraId="1830D3C9">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7、当环境发生异常时，要及时做好设备的保护，必要时要将设备及时移出所处环境；</w:t>
      </w:r>
    </w:p>
    <w:p w14:paraId="37AD34C7">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8、仪器设备的使用人员应做好详细的使用运行记录，经常检查、了解仪器设备的运行情况，发现数据丢失、损坏等情况，食堂责任范围内的应及时维修，需园区管理中心协助解决的应及时上报进行维修。仪器设备的报废处理，由物业、食堂项目负责人详细提报园区管理中心，由园区管理中心按照规定报主管部门，获得批准或备案后，由园区管理中心通知处理方案，禁止私自处理、谎报、瞒报等情况发生；</w:t>
      </w:r>
    </w:p>
    <w:p w14:paraId="6D3FDE1C">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9、园区管理中心每年组织食堂对仪器设备进行盘点，各部门在上报盘点情况时，需同时检查上报仪器设备使用状态，清楚物品位置及使用情况，有完整维修记录；</w:t>
      </w:r>
    </w:p>
    <w:p w14:paraId="4FCE1CD6">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10、食堂需建立设备台账，由专人负责，定期盘查仪器设备使用状态、放置点位、资产编号是否完整（如设备设施移位、更新需标明确切位置），及时更新台账信息。应对员工定期培训设备管理保养方案、制度，保证人员熟悉资产使用情况、使用位置、保养情况、维护情况等；</w:t>
      </w:r>
    </w:p>
    <w:p w14:paraId="1887D12E">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11、食堂项目负责人需清楚了解全部在使用资产状态、报废资产位置等详细情况；</w:t>
      </w:r>
    </w:p>
    <w:p w14:paraId="46FD07B4">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12、禁止私自外借所内提供使用设备设施，如发生设备设施丢失等情况，由责任单位按原价予以赔付。</w:t>
      </w:r>
    </w:p>
    <w:p w14:paraId="1DB7D576">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13、本流程自2023年1月开始实施</w:t>
      </w:r>
    </w:p>
    <w:p w14:paraId="7BA61DF3">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 xml:space="preserve"> </w:t>
      </w:r>
    </w:p>
    <w:p w14:paraId="45FFE0FC">
      <w:pPr>
        <w:rPr>
          <w:rFonts w:hint="eastAsia" w:ascii="宋体" w:hAnsi="宋体" w:eastAsia="宋体" w:cs="宋体"/>
          <w:i w:val="0"/>
          <w:color w:val="000000"/>
          <w:kern w:val="0"/>
          <w:sz w:val="21"/>
          <w:szCs w:val="21"/>
          <w:highlight w:val="none"/>
          <w:u w:val="none"/>
          <w:lang w:val="en-US" w:eastAsia="zh-CN" w:bidi="ar"/>
        </w:rPr>
      </w:pPr>
    </w:p>
    <w:p w14:paraId="0080C289">
      <w:pPr>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责任单位（盖章）：</w:t>
      </w:r>
    </w:p>
    <w:p w14:paraId="39A82B39">
      <w:pPr>
        <w:jc w:val="right"/>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 xml:space="preserve">                年   月    日</w:t>
      </w:r>
      <w:r>
        <w:rPr>
          <w:rFonts w:hint="eastAsia" w:ascii="宋体" w:hAnsi="宋体" w:eastAsia="宋体" w:cs="宋体"/>
          <w:i w:val="0"/>
          <w:color w:val="000000"/>
          <w:kern w:val="0"/>
          <w:sz w:val="21"/>
          <w:szCs w:val="21"/>
          <w:highlight w:val="none"/>
          <w:u w:val="none"/>
          <w:lang w:val="en-US" w:eastAsia="zh-CN" w:bidi="ar"/>
        </w:rPr>
        <w:br w:type="page"/>
      </w:r>
    </w:p>
    <w:p w14:paraId="35A48D85">
      <w:pPr>
        <w:rPr>
          <w:rFonts w:hint="eastAsia" w:ascii="宋体" w:hAnsi="宋体" w:eastAsia="宋体" w:cs="宋体"/>
          <w:sz w:val="21"/>
          <w:szCs w:val="21"/>
          <w:highlight w:val="none"/>
          <w:lang w:val="en-US" w:eastAsia="zh-CN"/>
        </w:rPr>
      </w:pPr>
      <w:r>
        <w:rPr>
          <w:rFonts w:hint="eastAsia" w:ascii="宋体" w:hAnsi="宋体" w:eastAsia="宋体" w:cs="宋体"/>
          <w:i w:val="0"/>
          <w:color w:val="000000"/>
          <w:kern w:val="0"/>
          <w:sz w:val="21"/>
          <w:szCs w:val="21"/>
          <w:highlight w:val="none"/>
          <w:u w:val="none"/>
          <w:lang w:val="en-US" w:eastAsia="zh-CN" w:bidi="ar"/>
        </w:rPr>
        <w:t>附件3：</w:t>
      </w:r>
      <w:r>
        <w:rPr>
          <w:rFonts w:hint="eastAsia" w:ascii="宋体" w:hAnsi="宋体" w:eastAsia="宋体" w:cs="宋体"/>
          <w:sz w:val="21"/>
          <w:szCs w:val="21"/>
          <w:highlight w:val="none"/>
          <w:lang w:val="en-US" w:eastAsia="zh-CN"/>
        </w:rPr>
        <w:t>安全协议书</w:t>
      </w:r>
    </w:p>
    <w:p w14:paraId="66408AF0">
      <w:pPr>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中国科学院软件研究所职工食堂安全协议书</w:t>
      </w:r>
    </w:p>
    <w:p w14:paraId="077499ED">
      <w:pPr>
        <w:rPr>
          <w:rFonts w:hint="eastAsia" w:ascii="宋体" w:hAnsi="宋体" w:eastAsia="宋体" w:cs="宋体"/>
          <w:i w:val="0"/>
          <w:color w:val="000000"/>
          <w:kern w:val="0"/>
          <w:sz w:val="21"/>
          <w:szCs w:val="21"/>
          <w:highlight w:val="none"/>
          <w:u w:val="none"/>
          <w:lang w:val="en-US" w:eastAsia="zh-CN" w:bidi="ar"/>
        </w:rPr>
      </w:pPr>
    </w:p>
    <w:p w14:paraId="5CEC570F">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甲方：中国科学院软件研究所</w:t>
      </w:r>
    </w:p>
    <w:p w14:paraId="7A263D9E">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 xml:space="preserve">乙方： </w:t>
      </w:r>
    </w:p>
    <w:p w14:paraId="7497BD1D">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为加强和规范乙方经营过程中的安全管理，预防和减少各种可能发生的安全问题，保障所职工，学生及园区周边单位就餐人员的生命和财产安全，特订立如下协议：</w:t>
      </w:r>
    </w:p>
    <w:p w14:paraId="61408DF9">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第一条安全责任范围</w:t>
      </w:r>
    </w:p>
    <w:p w14:paraId="1E55AD0F">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乙方负责管理，经营的场所所发生的消防安全，设施设备安全及因食用乙方生产和出售的食品所产生的安全问题。</w:t>
      </w:r>
    </w:p>
    <w:p w14:paraId="783DECA8">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第二条甲方责任</w:t>
      </w:r>
    </w:p>
    <w:p w14:paraId="51D148A9">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1，甲方提供给乙方的建筑(含附属设备)，设备设施是完好的，能够进行安全的生产和使用。</w:t>
      </w:r>
    </w:p>
    <w:p w14:paraId="104717BE">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2，甲方对乙方进行有效授权，为乙方行使安全职责提供保障。</w:t>
      </w:r>
    </w:p>
    <w:p w14:paraId="631F304A">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3，对乙方提出的需甲方解决的消防问题，设施设备破损等相关问题，及时解决，维修或予以答复。</w:t>
      </w:r>
    </w:p>
    <w:p w14:paraId="585FFA67">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4，听取乙方安全工作汇报，开展对乙方责任范围的监督检查。</w:t>
      </w:r>
    </w:p>
    <w:p w14:paraId="6EF251CE">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第三条乙方责任</w:t>
      </w:r>
    </w:p>
    <w:p w14:paraId="53932C54">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(一)食品安全</w:t>
      </w:r>
    </w:p>
    <w:p w14:paraId="77CFCAE9">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1，制作饭菜所需的粮，油，禽，肉等原材料必须从正规渠道(经国家有关部门检验和认可)进货；</w:t>
      </w:r>
    </w:p>
    <w:p w14:paraId="5694B30D">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2，在原材料采购和加工过程中要保证原材料质量，禁止使用腐烂变质和过期的原材料：</w:t>
      </w:r>
    </w:p>
    <w:p w14:paraId="70D6437C">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3，出售的饭菜必须符合食品卫生的要求，确保不发生食物中毒(是否中毒，以卫生防疫部门出具的诊断书为准).</w:t>
      </w:r>
    </w:p>
    <w:p w14:paraId="2C474AE5">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4，乙方在经营期间，要杜绝食物中毒。一旦发生因乙方管理不善造成的食物中毒，乙方要承担一切法律责任和经济损失。</w:t>
      </w:r>
    </w:p>
    <w:p w14:paraId="2CEDB797">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(二)食品卫生</w:t>
      </w:r>
    </w:p>
    <w:p w14:paraId="531F12B6">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1，经营活动应符合《中华人民共和国食品安全法》及相关法律法规及所规章。</w:t>
      </w:r>
    </w:p>
    <w:p w14:paraId="4834443E">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2，在持有卫生许可证的前提下提供餐饮服务；</w:t>
      </w:r>
    </w:p>
    <w:p w14:paraId="362D8F58">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3，所有工作人员上岗前必须通过卫生监督部门指定医院(或防疫站)的体检，并参加统一培训，在领取饮食行业健康合格证后方可上岗；</w:t>
      </w:r>
    </w:p>
    <w:p w14:paraId="750439C4">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4，厨房用具须严格清洗和标准消毒；</w:t>
      </w:r>
    </w:p>
    <w:p w14:paraId="74B319CA">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5，自觉接受中国科学院，甲方和政府卫生管理部门的工作检查和监督。</w:t>
      </w:r>
    </w:p>
    <w:p w14:paraId="4A94E979">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(三)环境安全与卫生</w:t>
      </w:r>
    </w:p>
    <w:p w14:paraId="291261B3">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1，经营活动不得影响园区的环境和正常工作秩序，噪声，污水，泔水，烟尘排放等应符合国家和北京市规定的标准：</w:t>
      </w:r>
    </w:p>
    <w:p w14:paraId="06D3D62A">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2，保持经营区域范围内卫生整洁并做到：</w:t>
      </w:r>
    </w:p>
    <w:p w14:paraId="02D79721">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(1)保持地面清洁，无堆积杂物，具有良好的通风环境，避免散发异味；</w:t>
      </w:r>
    </w:p>
    <w:p w14:paraId="60E3206A">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(2)消除苍蝇，老鼠，蟑螂和其它有害昆虫及其孳生条件；</w:t>
      </w:r>
    </w:p>
    <w:p w14:paraId="0DF9924C">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(3)垃圾污物应按指定地点日产日清，不得随便遗弃；</w:t>
      </w:r>
    </w:p>
    <w:p w14:paraId="568B03C0">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3，在承包期间要注意预防火灾，投毒，盗窃等事件的发生，具备可靠的防范措施，建立安全管理制度。</w:t>
      </w:r>
    </w:p>
    <w:p w14:paraId="32C5B0A9">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(四)消防安全</w:t>
      </w:r>
    </w:p>
    <w:p w14:paraId="55129DE7">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1，指定专职人员负责燃气，水电管理，下班后及时切断燃气和水电总开关，确保燃气和水电使用安全。</w:t>
      </w:r>
    </w:p>
    <w:p w14:paraId="70872E7E">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2，烟道每使用两个月，请专业人员清理一次，以防止烟道着火事故发生。3，消防器材，设备必须配备专人管理，须持证上岗；配电设备应随时检查，及时维护，维修，始终保持完好状态。</w:t>
      </w:r>
    </w:p>
    <w:p w14:paraId="145B8F9D">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4，灭火器的定期检测由甲方承担，乙方负责日常检查，及时发现问题报甲方。</w:t>
      </w:r>
    </w:p>
    <w:p w14:paraId="32672503">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第四条违约责任</w:t>
      </w:r>
    </w:p>
    <w:p w14:paraId="3C65EA9E">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1，一经设备设施交接后由设施设备原因引起的安全问题，由乙方承担责任。</w:t>
      </w:r>
    </w:p>
    <w:p w14:paraId="7A713D59">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2，因乙方经营管理不到位，或不符合安全生产而造成的安全问题，由乙方承担责任。</w:t>
      </w:r>
    </w:p>
    <w:p w14:paraId="1F21690E">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第五条</w:t>
      </w:r>
    </w:p>
    <w:p w14:paraId="6B38B988">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本安全协议具有法律效力。经协议双方签署后立即生效。法律生效时间为  年  月  日起。</w:t>
      </w:r>
    </w:p>
    <w:p w14:paraId="02CFBCDA">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第六条</w:t>
      </w:r>
    </w:p>
    <w:p w14:paraId="543EA5D3">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本协议一式四份，甲方持两份，乙方持两份。</w:t>
      </w:r>
    </w:p>
    <w:p w14:paraId="49F61671">
      <w:pPr>
        <w:rPr>
          <w:rFonts w:hint="eastAsia" w:ascii="宋体" w:hAnsi="宋体" w:eastAsia="宋体" w:cs="宋体"/>
          <w:i w:val="0"/>
          <w:color w:val="000000"/>
          <w:kern w:val="0"/>
          <w:sz w:val="21"/>
          <w:szCs w:val="21"/>
          <w:highlight w:val="none"/>
          <w:u w:val="none"/>
          <w:lang w:val="en-US" w:eastAsia="zh-CN" w:bidi="ar"/>
        </w:rPr>
      </w:pPr>
    </w:p>
    <w:p w14:paraId="1EEF331A">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甲方：(盖章)中国科学院软件研究所</w:t>
      </w:r>
      <w:r>
        <w:rPr>
          <w:rFonts w:hint="eastAsia" w:ascii="宋体" w:hAnsi="宋体" w:eastAsia="宋体" w:cs="宋体"/>
          <w:i w:val="0"/>
          <w:color w:val="000000"/>
          <w:kern w:val="0"/>
          <w:sz w:val="21"/>
          <w:szCs w:val="21"/>
          <w:highlight w:val="none"/>
          <w:u w:val="none"/>
          <w:lang w:val="en-US" w:eastAsia="zh-CN" w:bidi="ar"/>
        </w:rPr>
        <w:tab/>
      </w:r>
      <w:r>
        <w:rPr>
          <w:rFonts w:hint="eastAsia" w:ascii="宋体" w:hAnsi="宋体" w:eastAsia="宋体" w:cs="宋体"/>
          <w:i w:val="0"/>
          <w:color w:val="000000"/>
          <w:kern w:val="0"/>
          <w:sz w:val="21"/>
          <w:szCs w:val="21"/>
          <w:highlight w:val="none"/>
          <w:u w:val="none"/>
          <w:lang w:val="en-US" w:eastAsia="zh-CN" w:bidi="ar"/>
        </w:rPr>
        <w:t xml:space="preserve">     乙方：(盖单) </w:t>
      </w:r>
    </w:p>
    <w:p w14:paraId="1E833B0E">
      <w:pPr>
        <w:rPr>
          <w:rFonts w:hint="eastAsia" w:ascii="宋体" w:hAnsi="宋体" w:eastAsia="宋体" w:cs="宋体"/>
          <w:i w:val="0"/>
          <w:color w:val="000000"/>
          <w:kern w:val="0"/>
          <w:sz w:val="21"/>
          <w:szCs w:val="21"/>
          <w:highlight w:val="none"/>
          <w:u w:val="none"/>
          <w:lang w:val="en-US" w:eastAsia="zh-CN" w:bidi="ar"/>
        </w:rPr>
      </w:pPr>
    </w:p>
    <w:p w14:paraId="555E60A6">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单位负责人（签字）：</w:t>
      </w:r>
      <w:r>
        <w:rPr>
          <w:rFonts w:hint="eastAsia" w:ascii="宋体" w:hAnsi="宋体" w:eastAsia="宋体" w:cs="宋体"/>
          <w:i w:val="0"/>
          <w:color w:val="000000"/>
          <w:kern w:val="0"/>
          <w:sz w:val="21"/>
          <w:szCs w:val="21"/>
          <w:highlight w:val="none"/>
          <w:u w:val="none"/>
          <w:lang w:val="en-US" w:eastAsia="zh-CN" w:bidi="ar"/>
        </w:rPr>
        <w:tab/>
      </w:r>
      <w:r>
        <w:rPr>
          <w:rFonts w:hint="eastAsia" w:ascii="宋体" w:hAnsi="宋体" w:eastAsia="宋体" w:cs="宋体"/>
          <w:i w:val="0"/>
          <w:color w:val="000000"/>
          <w:kern w:val="0"/>
          <w:sz w:val="21"/>
          <w:szCs w:val="21"/>
          <w:highlight w:val="none"/>
          <w:u w:val="none"/>
          <w:lang w:val="en-US" w:eastAsia="zh-CN" w:bidi="ar"/>
        </w:rPr>
        <w:t xml:space="preserve">           单位负责人（签字）：</w:t>
      </w:r>
      <w:r>
        <w:rPr>
          <w:rFonts w:hint="eastAsia" w:ascii="宋体" w:hAnsi="宋体" w:eastAsia="宋体" w:cs="宋体"/>
          <w:i w:val="0"/>
          <w:color w:val="000000"/>
          <w:kern w:val="0"/>
          <w:sz w:val="21"/>
          <w:szCs w:val="21"/>
          <w:highlight w:val="none"/>
          <w:u w:val="none"/>
          <w:lang w:val="en-US" w:eastAsia="zh-CN" w:bidi="ar"/>
        </w:rPr>
        <w:br w:type="page"/>
      </w:r>
    </w:p>
    <w:p w14:paraId="28121956">
      <w:pPr>
        <w:keepNext w:val="0"/>
        <w:keepLines w:val="0"/>
        <w:widowControl/>
        <w:numPr>
          <w:ilvl w:val="0"/>
          <w:numId w:val="0"/>
        </w:numPr>
        <w:suppressLineNumbers w:val="0"/>
        <w:ind w:leftChars="0"/>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附件4软件所食堂工作考核内容</w:t>
      </w:r>
    </w:p>
    <w:p w14:paraId="28B533E3">
      <w:pPr>
        <w:keepNext w:val="0"/>
        <w:keepLines w:val="0"/>
        <w:widowControl/>
        <w:numPr>
          <w:ilvl w:val="0"/>
          <w:numId w:val="0"/>
        </w:numPr>
        <w:suppressLineNumbers w:val="0"/>
        <w:ind w:leftChars="0"/>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drawing>
          <wp:inline distT="0" distB="0" distL="114300" distR="114300">
            <wp:extent cx="5158105" cy="8006715"/>
            <wp:effectExtent l="9525" t="9525" r="13970" b="10160"/>
            <wp:docPr id="1" name="图片 1" descr="fc8930e533b7ffa579c4bdcaa1b18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c8930e533b7ffa579c4bdcaa1b18fa"/>
                    <pic:cNvPicPr>
                      <a:picLocks noChangeAspect="1"/>
                    </pic:cNvPicPr>
                  </pic:nvPicPr>
                  <pic:blipFill>
                    <a:blip r:embed="rId8"/>
                    <a:stretch>
                      <a:fillRect/>
                    </a:stretch>
                  </pic:blipFill>
                  <pic:spPr>
                    <a:xfrm>
                      <a:off x="0" y="0"/>
                      <a:ext cx="5158105" cy="8006715"/>
                    </a:xfrm>
                    <a:prstGeom prst="rect">
                      <a:avLst/>
                    </a:prstGeom>
                    <a:solidFill>
                      <a:srgbClr val="000000"/>
                    </a:solidFill>
                    <a:ln w="9525" cap="flat" cmpd="sng">
                      <a:solidFill>
                        <a:srgbClr val="000000"/>
                      </a:solidFill>
                      <a:prstDash val="solid"/>
                      <a:miter/>
                      <a:headEnd type="none" w="med" len="med"/>
                      <a:tailEnd type="none" w="med" len="med"/>
                    </a:ln>
                  </pic:spPr>
                </pic:pic>
              </a:graphicData>
            </a:graphic>
          </wp:inline>
        </w:drawing>
      </w:r>
    </w:p>
    <w:p w14:paraId="18BB480A">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br w:type="page"/>
      </w:r>
    </w:p>
    <w:p w14:paraId="5D3166B2">
      <w:pPr>
        <w:pStyle w:val="31"/>
        <w:ind w:left="0" w:firstLine="0"/>
        <w:rPr>
          <w:rFonts w:hint="eastAsia" w:ascii="宋体" w:hAnsi="宋体" w:eastAsia="宋体" w:cs="宋体"/>
          <w:bCs/>
          <w:color w:val="000000"/>
          <w:highlight w:val="none"/>
        </w:rPr>
      </w:pPr>
    </w:p>
    <w:bookmarkEnd w:id="65"/>
    <w:p w14:paraId="319247C3">
      <w:pPr>
        <w:pStyle w:val="2"/>
        <w:numPr>
          <w:ilvl w:val="0"/>
          <w:numId w:val="13"/>
        </w:numPr>
        <w:rPr>
          <w:rFonts w:hint="eastAsia" w:ascii="宋体" w:hAnsi="宋体" w:eastAsia="宋体" w:cs="宋体"/>
          <w:sz w:val="44"/>
          <w:highlight w:val="none"/>
        </w:rPr>
      </w:pPr>
      <w:bookmarkStart w:id="85" w:name="_Toc25101"/>
      <w:bookmarkStart w:id="86" w:name="_Toc4451"/>
      <w:r>
        <w:rPr>
          <w:rFonts w:hint="eastAsia" w:ascii="宋体" w:hAnsi="宋体" w:eastAsia="宋体" w:cs="宋体"/>
          <w:sz w:val="44"/>
          <w:highlight w:val="none"/>
        </w:rPr>
        <w:t>技术服务需求及说明</w:t>
      </w:r>
      <w:bookmarkEnd w:id="85"/>
      <w:bookmarkEnd w:id="86"/>
    </w:p>
    <w:p w14:paraId="411B1135">
      <w:pPr>
        <w:numPr>
          <w:ilvl w:val="0"/>
          <w:numId w:val="14"/>
        </w:numPr>
        <w:rPr>
          <w:rFonts w:hint="eastAsia" w:ascii="宋体" w:hAnsi="宋体" w:eastAsia="宋体" w:cs="宋体"/>
          <w:b/>
          <w:bCs/>
          <w:highlight w:val="none"/>
          <w:lang w:val="en-US" w:eastAsia="zh-CN"/>
        </w:rPr>
      </w:pPr>
      <w:bookmarkStart w:id="87" w:name="_Toc31651"/>
      <w:bookmarkStart w:id="88" w:name="_Toc1422"/>
      <w:r>
        <w:rPr>
          <w:rFonts w:hint="eastAsia" w:ascii="宋体" w:hAnsi="宋体" w:eastAsia="宋体" w:cs="宋体"/>
          <w:b/>
          <w:bCs/>
          <w:highlight w:val="none"/>
          <w:lang w:val="en-US" w:eastAsia="zh-CN"/>
        </w:rPr>
        <w:t>食堂基本情况</w:t>
      </w:r>
    </w:p>
    <w:p w14:paraId="1F8F0EC8">
      <w:pPr>
        <w:pStyle w:val="66"/>
        <w:shd w:val="clear" w:color="auto" w:fill="FFFFFF"/>
        <w:spacing w:before="240" w:beforeAutospacing="0" w:after="120" w:afterAutospacing="0" w:line="350" w:lineRule="exact"/>
        <w:ind w:firstLine="422" w:firstLineChars="200"/>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服务地点/面积</w:t>
      </w:r>
    </w:p>
    <w:p w14:paraId="0A285116">
      <w:pPr>
        <w:autoSpaceDE w:val="0"/>
        <w:autoSpaceDN w:val="0"/>
        <w:adjustRightInd w:val="0"/>
        <w:snapToGrid w:val="0"/>
        <w:spacing w:before="120" w:line="350" w:lineRule="exact"/>
        <w:ind w:firstLine="420" w:firstLineChars="200"/>
        <w:rPr>
          <w:rFonts w:hint="eastAsia" w:ascii="宋体" w:hAnsi="宋体" w:eastAsia="宋体" w:cs="宋体"/>
          <w:bCs/>
          <w:strike w:val="0"/>
          <w:dstrike w:val="0"/>
          <w:color w:val="auto"/>
          <w:sz w:val="21"/>
          <w:szCs w:val="21"/>
          <w:highlight w:val="none"/>
          <w:lang w:val="en-US" w:eastAsia="zh-CN"/>
        </w:rPr>
      </w:pPr>
      <w:r>
        <w:rPr>
          <w:rFonts w:hint="eastAsia" w:ascii="宋体" w:hAnsi="宋体" w:eastAsia="宋体" w:cs="宋体"/>
          <w:bCs/>
          <w:color w:val="auto"/>
          <w:sz w:val="21"/>
          <w:szCs w:val="21"/>
          <w:highlight w:val="none"/>
        </w:rPr>
        <w:t>服务地点：</w:t>
      </w:r>
      <w:r>
        <w:rPr>
          <w:rFonts w:hint="eastAsia" w:ascii="宋体" w:hAnsi="宋体" w:eastAsia="宋体" w:cs="宋体"/>
          <w:bCs/>
          <w:color w:val="auto"/>
          <w:sz w:val="21"/>
          <w:szCs w:val="21"/>
          <w:highlight w:val="none"/>
          <w:lang w:val="en-US" w:eastAsia="zh-CN"/>
        </w:rPr>
        <w:t>北京市海淀区中关村南四街4号</w:t>
      </w:r>
      <w:r>
        <w:rPr>
          <w:rFonts w:hint="eastAsia" w:ascii="宋体" w:hAnsi="宋体" w:eastAsia="宋体" w:cs="宋体"/>
          <w:bCs/>
          <w:strike w:val="0"/>
          <w:dstrike w:val="0"/>
          <w:color w:val="auto"/>
          <w:sz w:val="21"/>
          <w:szCs w:val="21"/>
          <w:highlight w:val="none"/>
          <w:lang w:val="en-US" w:eastAsia="zh-CN"/>
        </w:rPr>
        <w:t>7号楼地下二层至地上二层</w:t>
      </w:r>
    </w:p>
    <w:p w14:paraId="3B02BDA0">
      <w:pPr>
        <w:autoSpaceDE w:val="0"/>
        <w:autoSpaceDN w:val="0"/>
        <w:adjustRightInd w:val="0"/>
        <w:snapToGrid w:val="0"/>
        <w:spacing w:before="120" w:line="35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服务场地建筑面积：</w:t>
      </w:r>
      <w:r>
        <w:rPr>
          <w:rFonts w:hint="eastAsia" w:ascii="宋体" w:hAnsi="宋体" w:eastAsia="宋体" w:cs="宋体"/>
          <w:bCs/>
          <w:color w:val="auto"/>
          <w:sz w:val="21"/>
          <w:szCs w:val="21"/>
          <w:highlight w:val="none"/>
          <w:u w:val="single"/>
          <w:lang w:val="en-US" w:eastAsia="zh-CN"/>
        </w:rPr>
        <w:t>4190</w:t>
      </w:r>
      <w:r>
        <w:rPr>
          <w:rFonts w:hint="eastAsia" w:ascii="宋体" w:hAnsi="宋体" w:eastAsia="宋体" w:cs="宋体"/>
          <w:bCs/>
          <w:color w:val="auto"/>
          <w:sz w:val="21"/>
          <w:szCs w:val="21"/>
          <w:highlight w:val="none"/>
          <w:lang w:val="en-US" w:eastAsia="zh-CN"/>
        </w:rPr>
        <w:t>平方米</w:t>
      </w:r>
    </w:p>
    <w:p w14:paraId="143318A1">
      <w:pPr>
        <w:pStyle w:val="66"/>
        <w:shd w:val="clear" w:color="auto" w:fill="FFFFFF"/>
        <w:spacing w:before="240" w:beforeAutospacing="0" w:after="120" w:afterAutospacing="0" w:line="350" w:lineRule="exact"/>
        <w:ind w:firstLine="422" w:firstLineChars="200"/>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合作条件</w:t>
      </w:r>
    </w:p>
    <w:p w14:paraId="70B607F2">
      <w:pPr>
        <w:autoSpaceDE w:val="0"/>
        <w:autoSpaceDN w:val="0"/>
        <w:adjustRightInd w:val="0"/>
        <w:snapToGrid w:val="0"/>
        <w:spacing w:before="120" w:line="35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负责提供厨房、餐厅、灶具、厨杂、餐座椅等基本供餐设备设施。</w:t>
      </w:r>
    </w:p>
    <w:p w14:paraId="35FEE016">
      <w:pPr>
        <w:autoSpaceDE w:val="0"/>
        <w:autoSpaceDN w:val="0"/>
        <w:adjustRightInd w:val="0"/>
        <w:snapToGrid w:val="0"/>
        <w:spacing w:before="120" w:line="35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向</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派驻服务人员，负责提供人员、食品制作、餐厅服务辖区卫生保洁、设备、餐具、厨杂、食品、物资的使用、设备维护管理服务。</w:t>
      </w:r>
    </w:p>
    <w:p w14:paraId="6D07D67F">
      <w:pPr>
        <w:autoSpaceDE w:val="0"/>
        <w:autoSpaceDN w:val="0"/>
        <w:adjustRightInd w:val="0"/>
        <w:snapToGrid w:val="0"/>
        <w:spacing w:before="120" w:line="35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双方约定：</w:t>
      </w:r>
    </w:p>
    <w:p w14:paraId="3363270E">
      <w:pPr>
        <w:autoSpaceDE w:val="0"/>
        <w:autoSpaceDN w:val="0"/>
        <w:adjustRightInd w:val="0"/>
        <w:snapToGrid w:val="0"/>
        <w:spacing w:before="120" w:line="35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采购人为供应商提供办公场所和男、女宿舍。</w:t>
      </w:r>
    </w:p>
    <w:p w14:paraId="73C59FF3">
      <w:pPr>
        <w:autoSpaceDE w:val="0"/>
        <w:autoSpaceDN w:val="0"/>
        <w:adjustRightInd w:val="0"/>
        <w:snapToGrid w:val="0"/>
        <w:spacing w:before="120" w:line="35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软件所食堂原设备维修，3000元（含）以内的小额支出由供应商支付，3000元以上由采购人承担；出现其他方面的维修，第一时间上报物业进行维修，如遇问题，再进行上报处理。</w:t>
      </w:r>
    </w:p>
    <w:p w14:paraId="377AE7B7">
      <w:pPr>
        <w:autoSpaceDE w:val="0"/>
        <w:autoSpaceDN w:val="0"/>
        <w:adjustRightInd w:val="0"/>
        <w:snapToGrid w:val="0"/>
        <w:spacing w:before="120" w:line="35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所有厨房设备（软件所资产）更换费用由软件所承担。</w:t>
      </w:r>
    </w:p>
    <w:p w14:paraId="74C5CA5A">
      <w:pPr>
        <w:autoSpaceDE w:val="0"/>
        <w:autoSpaceDN w:val="0"/>
        <w:adjustRightInd w:val="0"/>
        <w:snapToGrid w:val="0"/>
        <w:spacing w:before="120" w:line="35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使用能源费用，水费、燃气费全由供应商自行承担；总电费用的60%由采购人承提，40%由供应商自行承担。</w:t>
      </w:r>
    </w:p>
    <w:p w14:paraId="1E435930">
      <w:pPr>
        <w:autoSpaceDE w:val="0"/>
        <w:autoSpaceDN w:val="0"/>
        <w:adjustRightInd w:val="0"/>
        <w:snapToGrid w:val="0"/>
        <w:spacing w:before="120" w:line="35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Cs/>
          <w:color w:val="auto"/>
          <w:sz w:val="21"/>
          <w:szCs w:val="21"/>
          <w:highlight w:val="none"/>
        </w:rPr>
        <w:t>食堂内发生的烟道清洗、</w:t>
      </w:r>
      <w:r>
        <w:rPr>
          <w:rFonts w:hint="eastAsia" w:ascii="宋体" w:hAnsi="宋体" w:eastAsia="宋体" w:cs="宋体"/>
          <w:bCs/>
          <w:color w:val="auto"/>
          <w:sz w:val="21"/>
          <w:szCs w:val="21"/>
          <w:highlight w:val="none"/>
          <w:lang w:val="en-US" w:eastAsia="zh-CN"/>
        </w:rPr>
        <w:t>各项虫控</w:t>
      </w:r>
      <w:r>
        <w:rPr>
          <w:rFonts w:hint="eastAsia" w:ascii="宋体" w:hAnsi="宋体" w:eastAsia="宋体" w:cs="宋体"/>
          <w:bCs/>
          <w:color w:val="auto"/>
          <w:sz w:val="21"/>
          <w:szCs w:val="21"/>
          <w:highlight w:val="none"/>
        </w:rPr>
        <w:t>、厨余垃圾消纳</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隔油池清理，低值易耗用品、厨房用具、清洁用品</w:t>
      </w:r>
      <w:r>
        <w:rPr>
          <w:rFonts w:hint="eastAsia" w:ascii="宋体" w:hAnsi="宋体" w:eastAsia="宋体" w:cs="宋体"/>
          <w:bCs/>
          <w:color w:val="auto"/>
          <w:sz w:val="21"/>
          <w:szCs w:val="21"/>
          <w:highlight w:val="none"/>
        </w:rPr>
        <w:t>等</w:t>
      </w:r>
      <w:r>
        <w:rPr>
          <w:rFonts w:hint="eastAsia" w:ascii="宋体" w:hAnsi="宋体" w:eastAsia="宋体" w:cs="宋体"/>
          <w:bCs/>
          <w:color w:val="auto"/>
          <w:sz w:val="21"/>
          <w:szCs w:val="21"/>
          <w:highlight w:val="none"/>
          <w:lang w:val="en-US" w:eastAsia="zh-CN"/>
        </w:rPr>
        <w:t>支出全部</w:t>
      </w:r>
      <w:r>
        <w:rPr>
          <w:rFonts w:hint="eastAsia" w:ascii="宋体" w:hAnsi="宋体" w:eastAsia="宋体" w:cs="宋体"/>
          <w:bCs/>
          <w:color w:val="auto"/>
          <w:sz w:val="21"/>
          <w:szCs w:val="21"/>
          <w:highlight w:val="none"/>
        </w:rPr>
        <w:t>由</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lang w:val="en-US" w:eastAsia="zh-CN"/>
        </w:rPr>
        <w:t>自行</w:t>
      </w:r>
      <w:r>
        <w:rPr>
          <w:rFonts w:hint="eastAsia" w:ascii="宋体" w:hAnsi="宋体" w:eastAsia="宋体" w:cs="宋体"/>
          <w:bCs/>
          <w:color w:val="auto"/>
          <w:sz w:val="21"/>
          <w:szCs w:val="21"/>
          <w:highlight w:val="none"/>
        </w:rPr>
        <w:t>承担。</w:t>
      </w:r>
    </w:p>
    <w:p w14:paraId="1338382C">
      <w:pPr>
        <w:tabs>
          <w:tab w:val="left" w:pos="945"/>
        </w:tabs>
        <w:spacing w:before="120" w:line="35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 xml:space="preserve">4 </w:t>
      </w:r>
      <w:r>
        <w:rPr>
          <w:rFonts w:hint="eastAsia" w:ascii="宋体" w:hAnsi="宋体" w:eastAsia="宋体" w:cs="宋体"/>
          <w:color w:val="auto"/>
          <w:sz w:val="21"/>
          <w:szCs w:val="21"/>
          <w:highlight w:val="none"/>
          <w:lang w:val="en-US" w:eastAsia="zh-CN"/>
        </w:rPr>
        <w:t>供应商负责在合同期内为软件所食堂投保不低于壹仟万人民币的公众责任保险。</w:t>
      </w:r>
    </w:p>
    <w:p w14:paraId="629A6998">
      <w:pPr>
        <w:autoSpaceDE w:val="0"/>
        <w:autoSpaceDN w:val="0"/>
        <w:adjustRightInd w:val="0"/>
        <w:snapToGrid w:val="0"/>
        <w:spacing w:before="120" w:line="35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 xml:space="preserve">5 </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承担其派驻人员工资和其他劳务费用。</w:t>
      </w:r>
    </w:p>
    <w:p w14:paraId="401152C4">
      <w:pPr>
        <w:autoSpaceDE w:val="0"/>
        <w:autoSpaceDN w:val="0"/>
        <w:adjustRightInd w:val="0"/>
        <w:snapToGrid w:val="0"/>
        <w:spacing w:before="120" w:line="35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val="en-US" w:eastAsia="zh-CN"/>
        </w:rPr>
        <w:t xml:space="preserve">1.6 </w:t>
      </w:r>
      <w:r>
        <w:rPr>
          <w:rFonts w:hint="eastAsia" w:ascii="宋体" w:hAnsi="宋体" w:eastAsia="宋体" w:cs="宋体"/>
          <w:bCs/>
          <w:color w:val="auto"/>
          <w:sz w:val="21"/>
          <w:szCs w:val="21"/>
          <w:highlight w:val="none"/>
        </w:rPr>
        <w:t>本合同内任何服务项目费用有变化时，应当由甲乙双方协商并签署补充</w:t>
      </w:r>
      <w:r>
        <w:rPr>
          <w:rFonts w:hint="eastAsia" w:ascii="宋体" w:hAnsi="宋体" w:eastAsia="宋体" w:cs="宋体"/>
          <w:bCs/>
          <w:color w:val="auto"/>
          <w:sz w:val="21"/>
          <w:szCs w:val="21"/>
          <w:highlight w:val="none"/>
          <w:lang w:val="en-US" w:eastAsia="zh-CN"/>
        </w:rPr>
        <w:t>书</w:t>
      </w:r>
      <w:r>
        <w:rPr>
          <w:rFonts w:hint="eastAsia" w:ascii="宋体" w:hAnsi="宋体" w:eastAsia="宋体" w:cs="宋体"/>
          <w:bCs/>
          <w:color w:val="auto"/>
          <w:sz w:val="21"/>
          <w:szCs w:val="21"/>
          <w:highlight w:val="none"/>
        </w:rPr>
        <w:t>面文件确认方可生效。</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服务内容及服务标准</w:t>
      </w:r>
    </w:p>
    <w:p w14:paraId="51FB963B">
      <w:pPr>
        <w:spacing w:before="120" w:line="35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服务内容</w:t>
      </w:r>
    </w:p>
    <w:p w14:paraId="1B1E4DE4">
      <w:pPr>
        <w:spacing w:before="120" w:line="35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按照</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要求为</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全部工作人员提供餐饮服务。其工作内容为早餐、中餐、晚餐和招待餐的餐饮服务。</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餐厅采取刷卡消费形式，会议餐、包间桌餐的结账方式双方另行约定。其他餐饮服务例如节日餐、庆祝餐等按照</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需求执行。</w:t>
      </w:r>
    </w:p>
    <w:p w14:paraId="76CB8AA4">
      <w:pPr>
        <w:spacing w:before="120" w:line="35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1.2</w:t>
      </w:r>
      <w:r>
        <w:rPr>
          <w:rFonts w:hint="eastAsia" w:ascii="宋体" w:hAnsi="宋体" w:eastAsia="宋体" w:cs="宋体"/>
          <w:b/>
          <w:color w:val="auto"/>
          <w:sz w:val="21"/>
          <w:szCs w:val="21"/>
          <w:highlight w:val="none"/>
        </w:rPr>
        <w:t>服务标准</w:t>
      </w:r>
    </w:p>
    <w:p w14:paraId="00F0074C">
      <w:pPr>
        <w:spacing w:before="120" w:line="35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应确保按照投标文件中承诺的工作流程、操作流程和管理流程向</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提供服务。本合同正文及附件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均为服务标准条款的有效组成部分。如上述文件内容之间存在冲突的，</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有权决定选择适用其中合理的标准。上述文件对服务标准约定不明确的，按照商务部发布的《团餐管理服务规范》（SB/T 10856-2012）及其列明的规范性引用文件履行。</w:t>
      </w:r>
    </w:p>
    <w:p w14:paraId="2352A100">
      <w:pPr>
        <w:spacing w:before="120" w:line="35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在国家公布的食品价格或基本工资上涨时，</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须经</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书面同意后方可调整餐费</w:t>
      </w:r>
      <w:r>
        <w:rPr>
          <w:rFonts w:hint="eastAsia" w:ascii="宋体" w:hAnsi="宋体" w:eastAsia="宋体" w:cs="宋体"/>
          <w:bCs/>
          <w:color w:val="auto"/>
          <w:sz w:val="21"/>
          <w:szCs w:val="21"/>
          <w:highlight w:val="none"/>
          <w:lang w:val="en-US" w:eastAsia="zh-CN"/>
        </w:rPr>
        <w:t>或是餐品</w:t>
      </w:r>
      <w:r>
        <w:rPr>
          <w:rFonts w:hint="eastAsia" w:ascii="宋体" w:hAnsi="宋体" w:eastAsia="宋体" w:cs="宋体"/>
          <w:bCs/>
          <w:color w:val="auto"/>
          <w:sz w:val="21"/>
          <w:szCs w:val="21"/>
          <w:highlight w:val="none"/>
        </w:rPr>
        <w:t>标准。</w:t>
      </w:r>
    </w:p>
    <w:p w14:paraId="4532C97E">
      <w:pPr>
        <w:spacing w:before="120" w:line="350" w:lineRule="exact"/>
        <w:ind w:firstLine="422" w:firstLineChars="200"/>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3食谱标准</w:t>
      </w:r>
    </w:p>
    <w:p w14:paraId="39509F99">
      <w:pPr>
        <w:spacing w:before="120" w:line="35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科学制</w:t>
      </w:r>
      <w:r>
        <w:rPr>
          <w:rFonts w:hint="eastAsia" w:ascii="宋体" w:hAnsi="宋体" w:eastAsia="宋体" w:cs="宋体"/>
          <w:bCs/>
          <w:color w:val="auto"/>
          <w:sz w:val="21"/>
          <w:szCs w:val="21"/>
          <w:highlight w:val="none"/>
          <w:lang w:val="en-US" w:eastAsia="zh-CN"/>
        </w:rPr>
        <w:t>定</w:t>
      </w:r>
      <w:r>
        <w:rPr>
          <w:rFonts w:hint="eastAsia" w:ascii="宋体" w:hAnsi="宋体" w:eastAsia="宋体" w:cs="宋体"/>
          <w:bCs/>
          <w:color w:val="auto"/>
          <w:sz w:val="21"/>
          <w:szCs w:val="21"/>
          <w:highlight w:val="none"/>
        </w:rPr>
        <w:t>食谱，每周四公布下一周食谱，保障每周更换菜谱、荤素搭配、营养均衡、足量供给。</w:t>
      </w:r>
    </w:p>
    <w:p w14:paraId="4ED5B547">
      <w:pPr>
        <w:spacing w:before="120" w:line="35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（1）早餐：</w:t>
      </w:r>
      <w:r>
        <w:rPr>
          <w:rFonts w:hint="eastAsia" w:ascii="宋体" w:hAnsi="宋体" w:eastAsia="宋体" w:cs="宋体"/>
          <w:bCs/>
          <w:color w:val="auto"/>
          <w:sz w:val="21"/>
          <w:szCs w:val="21"/>
          <w:highlight w:val="none"/>
          <w:lang w:val="en-US" w:eastAsia="zh-CN"/>
        </w:rPr>
        <w:t>总品种</w:t>
      </w:r>
      <w:r>
        <w:rPr>
          <w:rFonts w:hint="eastAsia" w:ascii="宋体" w:hAnsi="宋体" w:eastAsia="宋体" w:cs="宋体"/>
          <w:bCs/>
          <w:color w:val="auto"/>
          <w:sz w:val="21"/>
          <w:szCs w:val="21"/>
          <w:highlight w:val="none"/>
        </w:rPr>
        <w:t>不低于</w:t>
      </w:r>
      <w:r>
        <w:rPr>
          <w:rFonts w:hint="eastAsia" w:ascii="宋体" w:hAnsi="宋体" w:eastAsia="宋体" w:cs="宋体"/>
          <w:bCs/>
          <w:color w:val="auto"/>
          <w:sz w:val="21"/>
          <w:szCs w:val="21"/>
          <w:highlight w:val="none"/>
          <w:lang w:val="en-US" w:eastAsia="zh-CN"/>
        </w:rPr>
        <w:t>50</w:t>
      </w:r>
      <w:r>
        <w:rPr>
          <w:rFonts w:hint="eastAsia" w:ascii="宋体" w:hAnsi="宋体" w:eastAsia="宋体" w:cs="宋体"/>
          <w:bCs/>
          <w:color w:val="auto"/>
          <w:sz w:val="21"/>
          <w:szCs w:val="21"/>
          <w:highlight w:val="none"/>
        </w:rPr>
        <w:t>个品种，每天不少于</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个小菜，2-4个汤粥类，</w:t>
      </w:r>
      <w:r>
        <w:rPr>
          <w:rFonts w:hint="eastAsia" w:ascii="宋体" w:hAnsi="宋体" w:eastAsia="宋体" w:cs="宋体"/>
          <w:bCs/>
          <w:color w:val="auto"/>
          <w:sz w:val="21"/>
          <w:szCs w:val="21"/>
          <w:highlight w:val="none"/>
          <w:lang w:val="en-US" w:eastAsia="zh-CN"/>
        </w:rPr>
        <w:t>20</w:t>
      </w:r>
      <w:r>
        <w:rPr>
          <w:rFonts w:hint="eastAsia" w:ascii="宋体" w:hAnsi="宋体" w:eastAsia="宋体" w:cs="宋体"/>
          <w:bCs/>
          <w:color w:val="auto"/>
          <w:sz w:val="21"/>
          <w:szCs w:val="21"/>
          <w:highlight w:val="none"/>
        </w:rPr>
        <w:t>种主食，</w:t>
      </w:r>
      <w:r>
        <w:rPr>
          <w:rFonts w:hint="eastAsia" w:ascii="宋体" w:hAnsi="宋体" w:eastAsia="宋体" w:cs="宋体"/>
          <w:bCs/>
          <w:color w:val="auto"/>
          <w:sz w:val="21"/>
          <w:szCs w:val="21"/>
          <w:highlight w:val="none"/>
          <w:lang w:val="en-US" w:eastAsia="zh-CN"/>
        </w:rPr>
        <w:t>蛋类不少于2种</w:t>
      </w:r>
      <w:r>
        <w:rPr>
          <w:rFonts w:hint="eastAsia" w:ascii="宋体" w:hAnsi="宋体" w:eastAsia="宋体" w:cs="宋体"/>
          <w:bCs/>
          <w:color w:val="auto"/>
          <w:sz w:val="21"/>
          <w:szCs w:val="21"/>
          <w:highlight w:val="none"/>
        </w:rPr>
        <w:t>，现场制作风味小吃</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种</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奶制品15个品种，点心类10个品种</w:t>
      </w:r>
      <w:r>
        <w:rPr>
          <w:rFonts w:hint="eastAsia" w:ascii="宋体" w:hAnsi="宋体" w:eastAsia="宋体" w:cs="宋体"/>
          <w:bCs/>
          <w:color w:val="auto"/>
          <w:sz w:val="21"/>
          <w:szCs w:val="21"/>
          <w:highlight w:val="none"/>
        </w:rPr>
        <w:t>。</w:t>
      </w:r>
    </w:p>
    <w:p w14:paraId="0E5AF530">
      <w:pPr>
        <w:spacing w:before="120" w:line="35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（2）中餐：不低于24个品种，每天不少于12个热菜，2个汤（粥），8-10种主食以及1-2种现场制作风味小吃。</w:t>
      </w:r>
    </w:p>
    <w:p w14:paraId="064EF1CB">
      <w:pPr>
        <w:spacing w:before="120" w:line="35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（3）晚餐：晚餐热菜不少于8种（含主荤、半荤、纯素），主食不少于6个品种。</w:t>
      </w:r>
    </w:p>
    <w:p w14:paraId="2861F382">
      <w:pPr>
        <w:spacing w:before="120" w:line="35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（4）照顾到不同民族的用餐需求。</w:t>
      </w:r>
    </w:p>
    <w:p w14:paraId="188D4C82">
      <w:pPr>
        <w:spacing w:before="120" w:line="35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（5）其他小炒、风味小吃、团餐</w:t>
      </w:r>
      <w:r>
        <w:rPr>
          <w:rFonts w:hint="eastAsia" w:ascii="宋体" w:hAnsi="宋体" w:eastAsia="宋体" w:cs="宋体"/>
          <w:bCs/>
          <w:color w:val="auto"/>
          <w:sz w:val="21"/>
          <w:szCs w:val="21"/>
          <w:highlight w:val="none"/>
          <w:lang w:val="en-US" w:eastAsia="zh-CN"/>
        </w:rPr>
        <w:t>等</w:t>
      </w:r>
      <w:r>
        <w:rPr>
          <w:rFonts w:hint="eastAsia" w:ascii="宋体" w:hAnsi="宋体" w:eastAsia="宋体" w:cs="宋体"/>
          <w:bCs/>
          <w:color w:val="auto"/>
          <w:sz w:val="21"/>
          <w:szCs w:val="21"/>
          <w:highlight w:val="none"/>
        </w:rPr>
        <w:t>满足</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需求。</w:t>
      </w:r>
    </w:p>
    <w:p w14:paraId="29D9B5B8">
      <w:pPr>
        <w:spacing w:before="120" w:line="35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6）餐品的定量：</w:t>
      </w:r>
    </w:p>
    <w:p w14:paraId="7421FFF3">
      <w:pPr>
        <w:spacing w:before="120" w:line="35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一层团餐供应的常规菜品（不包含特殊菜品），干菜菜品每份不少于200克，带欠汁菜品每份不少于300克，汤菜每份不少于400克。</w:t>
      </w:r>
    </w:p>
    <w:p w14:paraId="7F4CABCC">
      <w:pPr>
        <w:spacing w:before="120" w:line="35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（7）餐品的定价</w:t>
      </w:r>
    </w:p>
    <w:p w14:paraId="31259717">
      <w:pPr>
        <w:numPr>
          <w:ilvl w:val="0"/>
          <w:numId w:val="0"/>
        </w:numPr>
        <w:spacing w:before="120" w:line="350" w:lineRule="exact"/>
        <w:ind w:firstLine="48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职工团餐及二层小吃菜品单品定价在2元到25元之间，最高价位不得超出每份25元的标准。</w:t>
      </w:r>
    </w:p>
    <w:p w14:paraId="6C449F64">
      <w:pPr>
        <w:numPr>
          <w:ilvl w:val="0"/>
          <w:numId w:val="0"/>
        </w:numPr>
        <w:spacing w:before="120" w:line="350" w:lineRule="exact"/>
        <w:ind w:firstLine="480"/>
        <w:rPr>
          <w:rFonts w:hint="eastAsia" w:ascii="宋体" w:hAnsi="宋体" w:eastAsia="宋体" w:cs="宋体"/>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（8）在食堂内售卖所有餐品均由食堂自制，不允许外购。（包括熟食、凉菜、拉皮、凉粉、凉面、轻食等）</w:t>
      </w:r>
    </w:p>
    <w:p w14:paraId="27BF987B">
      <w:pPr>
        <w:numPr>
          <w:ilvl w:val="0"/>
          <w:numId w:val="0"/>
        </w:numPr>
        <w:spacing w:before="120" w:line="350" w:lineRule="exact"/>
        <w:ind w:firstLine="422" w:firstLineChars="20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1.4开餐时间：</w:t>
      </w:r>
    </w:p>
    <w:p w14:paraId="7ACDC8A8">
      <w:pPr>
        <w:numPr>
          <w:ilvl w:val="0"/>
          <w:numId w:val="0"/>
        </w:numPr>
        <w:spacing w:before="120" w:line="350" w:lineRule="exact"/>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工作日一层开餐时间（节假日一层不营业）</w:t>
      </w:r>
    </w:p>
    <w:p w14:paraId="6028A378">
      <w:pPr>
        <w:numPr>
          <w:ilvl w:val="0"/>
          <w:numId w:val="0"/>
        </w:numPr>
        <w:spacing w:before="120" w:line="350" w:lineRule="exact"/>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早餐：7：00---9：00</w:t>
      </w:r>
    </w:p>
    <w:p w14:paraId="2A30FF5C">
      <w:pPr>
        <w:numPr>
          <w:ilvl w:val="0"/>
          <w:numId w:val="0"/>
        </w:numPr>
        <w:spacing w:before="120" w:line="350" w:lineRule="exact"/>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午餐：11：15---13：15</w:t>
      </w:r>
    </w:p>
    <w:p w14:paraId="0CF12A74">
      <w:pPr>
        <w:numPr>
          <w:ilvl w:val="0"/>
          <w:numId w:val="0"/>
        </w:numPr>
        <w:spacing w:before="120" w:line="350" w:lineRule="exact"/>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晚餐：17：00---19：00</w:t>
      </w:r>
    </w:p>
    <w:p w14:paraId="6D593E9A">
      <w:pPr>
        <w:numPr>
          <w:ilvl w:val="0"/>
          <w:numId w:val="0"/>
        </w:numPr>
        <w:spacing w:before="120" w:line="350" w:lineRule="exact"/>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工作日二层开餐时间</w:t>
      </w:r>
    </w:p>
    <w:p w14:paraId="3EC77092">
      <w:pPr>
        <w:numPr>
          <w:ilvl w:val="0"/>
          <w:numId w:val="0"/>
        </w:numPr>
        <w:spacing w:before="120" w:line="350" w:lineRule="exact"/>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午餐：11：30---13：15</w:t>
      </w:r>
    </w:p>
    <w:p w14:paraId="74989ED1">
      <w:pPr>
        <w:numPr>
          <w:ilvl w:val="0"/>
          <w:numId w:val="0"/>
        </w:numPr>
        <w:spacing w:before="120" w:line="350" w:lineRule="exact"/>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晚餐：17：00---19：00</w:t>
      </w:r>
    </w:p>
    <w:p w14:paraId="316EA468">
      <w:pPr>
        <w:numPr>
          <w:ilvl w:val="0"/>
          <w:numId w:val="0"/>
        </w:numPr>
        <w:spacing w:before="120" w:line="350" w:lineRule="exact"/>
        <w:ind w:firstLine="562"/>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节假日一层开餐时间</w:t>
      </w:r>
    </w:p>
    <w:p w14:paraId="7526EE60">
      <w:pPr>
        <w:numPr>
          <w:ilvl w:val="0"/>
          <w:numId w:val="0"/>
        </w:numPr>
        <w:spacing w:before="120" w:line="350" w:lineRule="exact"/>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早餐：8：00---9：00</w:t>
      </w:r>
    </w:p>
    <w:p w14:paraId="04989B3F">
      <w:pPr>
        <w:numPr>
          <w:ilvl w:val="0"/>
          <w:numId w:val="0"/>
        </w:numPr>
        <w:spacing w:before="120" w:line="350" w:lineRule="exact"/>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午餐：11：30---13：15</w:t>
      </w:r>
    </w:p>
    <w:p w14:paraId="7E08D171">
      <w:pPr>
        <w:numPr>
          <w:ilvl w:val="0"/>
          <w:numId w:val="0"/>
        </w:numPr>
        <w:spacing w:before="120" w:line="350" w:lineRule="exact"/>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晚餐：17：00---19：00</w:t>
      </w:r>
    </w:p>
    <w:p w14:paraId="2F1B1B51">
      <w:pPr>
        <w:numPr>
          <w:ilvl w:val="0"/>
          <w:numId w:val="0"/>
        </w:numPr>
        <w:spacing w:before="120" w:line="350" w:lineRule="exact"/>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注：节假日根据采购人要求进行供餐</w:t>
      </w:r>
    </w:p>
    <w:p w14:paraId="2722E4AB">
      <w:pPr>
        <w:numPr>
          <w:ilvl w:val="0"/>
          <w:numId w:val="0"/>
        </w:numPr>
        <w:spacing w:before="120" w:line="350" w:lineRule="exact"/>
        <w:ind w:firstLine="420" w:firstLineChars="200"/>
        <w:rPr>
          <w:rFonts w:hint="eastAsia" w:ascii="宋体" w:hAnsi="宋体" w:eastAsia="宋体" w:cs="宋体"/>
          <w:b w:val="0"/>
          <w:bCs/>
          <w:color w:val="auto"/>
          <w:sz w:val="21"/>
          <w:szCs w:val="21"/>
          <w:highlight w:val="none"/>
          <w:lang w:val="en-US" w:eastAsia="zh-CN"/>
        </w:rPr>
      </w:pPr>
    </w:p>
    <w:p w14:paraId="6303A9A9">
      <w:pPr>
        <w:numPr>
          <w:ilvl w:val="0"/>
          <w:numId w:val="0"/>
        </w:numPr>
        <w:spacing w:before="120" w:line="350" w:lineRule="exact"/>
        <w:ind w:firstLine="562"/>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包间营业时间</w:t>
      </w:r>
    </w:p>
    <w:p w14:paraId="737CBD20">
      <w:pPr>
        <w:numPr>
          <w:ilvl w:val="0"/>
          <w:numId w:val="0"/>
        </w:numPr>
        <w:spacing w:before="120" w:line="350" w:lineRule="exact"/>
        <w:ind w:firstLine="562"/>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午餐：11：30开始至用餐结束</w:t>
      </w:r>
    </w:p>
    <w:p w14:paraId="4457DB32">
      <w:pPr>
        <w:numPr>
          <w:ilvl w:val="0"/>
          <w:numId w:val="0"/>
        </w:numPr>
        <w:spacing w:before="120" w:line="350" w:lineRule="exact"/>
        <w:ind w:firstLine="562"/>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晚餐：17：30开始至用餐结束</w:t>
      </w:r>
    </w:p>
    <w:p w14:paraId="37ACD116">
      <w:pPr>
        <w:numPr>
          <w:ilvl w:val="0"/>
          <w:numId w:val="0"/>
        </w:numPr>
        <w:spacing w:before="120" w:line="350" w:lineRule="exact"/>
        <w:ind w:firstLine="562"/>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注：包间供应午餐及晚餐，用餐需提前两小时预定，如遇特殊情况，可根据客人要求调整供餐时间。</w:t>
      </w:r>
    </w:p>
    <w:p w14:paraId="1A648A96">
      <w:pPr>
        <w:widowControl w:val="0"/>
        <w:numPr>
          <w:ilvl w:val="0"/>
          <w:numId w:val="0"/>
        </w:numPr>
        <w:spacing w:before="120" w:line="350" w:lineRule="exact"/>
        <w:jc w:val="both"/>
        <w:rPr>
          <w:rFonts w:hint="eastAsia" w:ascii="宋体" w:hAnsi="宋体" w:eastAsia="宋体" w:cs="宋体"/>
          <w:highlight w:val="none"/>
          <w:lang w:val="en-US" w:eastAsia="zh-CN"/>
        </w:rPr>
      </w:pPr>
      <w:r>
        <w:rPr>
          <w:rFonts w:hint="eastAsia" w:ascii="宋体" w:hAnsi="宋体" w:eastAsia="宋体" w:cs="宋体"/>
          <w:b/>
          <w:bCs/>
          <w:color w:val="auto"/>
          <w:sz w:val="21"/>
          <w:szCs w:val="21"/>
          <w:highlight w:val="none"/>
          <w:lang w:val="en-US" w:eastAsia="zh-CN"/>
        </w:rPr>
        <w:t>二、人员配备与要求</w:t>
      </w:r>
    </w:p>
    <w:p w14:paraId="7838000F">
      <w:pPr>
        <w:spacing w:line="480" w:lineRule="exact"/>
        <w:ind w:firstLine="57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服务人员不少于35人，需提供人员列表</w:t>
      </w:r>
      <w:r>
        <w:rPr>
          <w:rFonts w:hint="eastAsia" w:ascii="宋体" w:hAnsi="宋体" w:eastAsia="宋体" w:cs="宋体"/>
          <w:color w:val="000000"/>
          <w:kern w:val="0"/>
          <w:sz w:val="21"/>
          <w:szCs w:val="21"/>
          <w:highlight w:val="none"/>
          <w:lang w:val="en-US" w:eastAsia="zh-CN" w:bidi="ar"/>
        </w:rPr>
        <w:t>(包括但不限于经理、厨师、服务员、洗消员、保洁员等)，所有人员需持有从业人员健康证明</w:t>
      </w:r>
      <w:r>
        <w:rPr>
          <w:rFonts w:hint="eastAsia" w:ascii="宋体" w:hAnsi="宋体" w:eastAsia="宋体" w:cs="宋体"/>
          <w:szCs w:val="21"/>
          <w:highlight w:val="none"/>
          <w:lang w:val="en-US" w:eastAsia="zh-CN"/>
        </w:rPr>
        <w:t>。</w:t>
      </w:r>
    </w:p>
    <w:p w14:paraId="37BD629E">
      <w:pPr>
        <w:spacing w:line="480" w:lineRule="exact"/>
        <w:ind w:firstLine="57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经理：管理经验丰富，具有5年以上餐饮服务经历，持有教育部考试中心和中国烹饪协会颁发的中国餐饮业高级职业经理人资格证书及高级食品安全管理员证书。</w:t>
      </w:r>
    </w:p>
    <w:p w14:paraId="4346CE59">
      <w:pPr>
        <w:spacing w:line="480" w:lineRule="exact"/>
        <w:ind w:firstLine="570"/>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厨师长：专科学校毕业，具有5年以上的厨师长管理经验，能够保证食堂的正常运作，深知成本核算和控制，持有高级技师资格证书。</w:t>
      </w:r>
    </w:p>
    <w:p w14:paraId="0B70357F">
      <w:pPr>
        <w:spacing w:line="480" w:lineRule="exact"/>
        <w:ind w:firstLine="630" w:firstLineChars="300"/>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营养师：具有丰富餐饮服务经验，持有高级公共营养师资格证</w:t>
      </w:r>
    </w:p>
    <w:p w14:paraId="714F9F0E">
      <w:pPr>
        <w:spacing w:line="480" w:lineRule="exact"/>
        <w:ind w:firstLine="570"/>
        <w:rPr>
          <w:rFonts w:hint="eastAsia" w:ascii="宋体" w:hAnsi="宋体" w:eastAsia="宋体" w:cs="宋体"/>
          <w:szCs w:val="21"/>
          <w:highlight w:val="none"/>
        </w:rPr>
      </w:pPr>
      <w:r>
        <w:rPr>
          <w:rFonts w:hint="eastAsia" w:ascii="宋体" w:hAnsi="宋体" w:eastAsia="宋体" w:cs="宋体"/>
          <w:szCs w:val="21"/>
          <w:highlight w:val="none"/>
        </w:rPr>
        <w:t>4</w:t>
      </w:r>
      <w:r>
        <w:rPr>
          <w:rFonts w:hint="eastAsia" w:ascii="宋体" w:hAnsi="宋体" w:eastAsia="宋体" w:cs="宋体"/>
          <w:szCs w:val="21"/>
          <w:highlight w:val="none"/>
          <w:lang w:eastAsia="zh-CN"/>
        </w:rPr>
        <w:t>.</w:t>
      </w:r>
      <w:r>
        <w:rPr>
          <w:rFonts w:hint="eastAsia" w:ascii="宋体" w:hAnsi="宋体" w:eastAsia="宋体" w:cs="宋体"/>
          <w:szCs w:val="21"/>
          <w:highlight w:val="none"/>
        </w:rPr>
        <w:t>餐饮公司需提供项目经理、厨师长、营养师及其他主要管理人员名单及简历，并不得随意更换。在合同执行过程中，如确需对上述人员进行调换，必须得到</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部门的书面批准。</w:t>
      </w:r>
    </w:p>
    <w:p w14:paraId="2E85D8E4">
      <w:pPr>
        <w:pStyle w:val="31"/>
        <w:numPr>
          <w:ilvl w:val="0"/>
          <w:numId w:val="0"/>
        </w:numPr>
        <w:ind w:leftChars="0"/>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三、关于考核</w:t>
      </w:r>
    </w:p>
    <w:p w14:paraId="1F985FB3">
      <w:pPr>
        <w:spacing w:line="480" w:lineRule="exact"/>
        <w:ind w:firstLine="57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负责对餐饮公司的监督、管理和考核工作，并按照本比选文件和合同要求对餐饮公司的违规行为进行通报批评和处罚。</w:t>
      </w:r>
    </w:p>
    <w:p w14:paraId="4F5A124E">
      <w:pPr>
        <w:spacing w:line="480" w:lineRule="exact"/>
        <w:ind w:firstLine="570"/>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每</w:t>
      </w:r>
      <w:r>
        <w:rPr>
          <w:rFonts w:hint="eastAsia" w:ascii="宋体" w:hAnsi="宋体" w:eastAsia="宋体" w:cs="宋体"/>
          <w:szCs w:val="21"/>
          <w:highlight w:val="none"/>
          <w:lang w:val="en-US" w:eastAsia="zh-CN"/>
        </w:rPr>
        <w:t>年</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组织</w:t>
      </w:r>
      <w:r>
        <w:rPr>
          <w:rFonts w:hint="eastAsia" w:ascii="宋体" w:hAnsi="宋体" w:eastAsia="宋体" w:cs="宋体"/>
          <w:szCs w:val="21"/>
          <w:highlight w:val="none"/>
          <w:lang w:val="en-US" w:eastAsia="zh-CN"/>
        </w:rPr>
        <w:t>食堂监督委员会</w:t>
      </w:r>
      <w:r>
        <w:rPr>
          <w:rFonts w:hint="eastAsia" w:ascii="宋体" w:hAnsi="宋体" w:eastAsia="宋体" w:cs="宋体"/>
          <w:szCs w:val="21"/>
          <w:highlight w:val="none"/>
        </w:rPr>
        <w:t>定期对餐饮公司的服务水平、服务质量、服务满意度等方面进行考核，考核评分</w:t>
      </w:r>
      <w:r>
        <w:rPr>
          <w:rFonts w:hint="eastAsia" w:ascii="宋体" w:hAnsi="宋体" w:eastAsia="宋体" w:cs="宋体"/>
          <w:szCs w:val="21"/>
          <w:highlight w:val="none"/>
          <w:lang w:val="en-US" w:eastAsia="zh-CN"/>
        </w:rPr>
        <w:t>分为不合格、合格、良好及优秀</w:t>
      </w:r>
      <w:r>
        <w:rPr>
          <w:rFonts w:hint="eastAsia" w:ascii="宋体" w:hAnsi="宋体" w:eastAsia="宋体" w:cs="宋体"/>
          <w:szCs w:val="21"/>
          <w:highlight w:val="none"/>
        </w:rPr>
        <w:t>。</w:t>
      </w:r>
    </w:p>
    <w:p w14:paraId="1C15A0AB">
      <w:pPr>
        <w:spacing w:line="480" w:lineRule="exact"/>
        <w:ind w:firstLine="57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对于合同服务期内考核成绩为良好及以上的继续服务，如果在合同期内考核成绩为合格及不合格的，根据甲方要求进行限期1个月整改，经</w:t>
      </w:r>
      <w:r>
        <w:rPr>
          <w:rFonts w:hint="eastAsia" w:ascii="宋体" w:hAnsi="宋体" w:eastAsia="宋体" w:cs="宋体"/>
          <w:szCs w:val="21"/>
          <w:highlight w:val="none"/>
          <w:lang w:val="en-US" w:eastAsia="zh-CN"/>
        </w:rPr>
        <w:t>采购人</w:t>
      </w:r>
      <w:r>
        <w:rPr>
          <w:rFonts w:hint="eastAsia" w:ascii="宋体" w:hAnsi="宋体" w:eastAsia="宋体" w:cs="宋体"/>
          <w:szCs w:val="21"/>
          <w:highlight w:val="none"/>
        </w:rPr>
        <w:t>再次考核，考核成绩达到良好及以上的可继续服务，如再次考核成绩为合格及不合格的，</w:t>
      </w:r>
      <w:r>
        <w:rPr>
          <w:rFonts w:hint="eastAsia" w:ascii="宋体" w:hAnsi="宋体" w:eastAsia="宋体" w:cs="宋体"/>
          <w:szCs w:val="21"/>
          <w:highlight w:val="none"/>
          <w:lang w:val="en-US" w:eastAsia="zh-CN"/>
        </w:rPr>
        <w:t>采购人</w:t>
      </w:r>
      <w:r>
        <w:rPr>
          <w:rFonts w:hint="eastAsia" w:ascii="宋体" w:hAnsi="宋体" w:eastAsia="宋体" w:cs="宋体"/>
          <w:szCs w:val="21"/>
          <w:highlight w:val="none"/>
        </w:rPr>
        <w:t>有权终止合同</w:t>
      </w:r>
      <w:r>
        <w:rPr>
          <w:rFonts w:hint="eastAsia" w:ascii="宋体" w:hAnsi="宋体" w:eastAsia="宋体" w:cs="宋体"/>
          <w:szCs w:val="21"/>
          <w:highlight w:val="none"/>
          <w:lang w:eastAsia="zh-CN"/>
        </w:rPr>
        <w:t>。</w:t>
      </w:r>
    </w:p>
    <w:p w14:paraId="698EEDBE">
      <w:pPr>
        <w:spacing w:line="480" w:lineRule="exact"/>
        <w:ind w:firstLine="570"/>
        <w:rPr>
          <w:rFonts w:hint="eastAsia" w:ascii="宋体" w:hAnsi="宋体" w:eastAsia="宋体" w:cs="宋体"/>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因餐饮公司存在重大服务缺陷，导致给</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造成重大恶劣影响和经济损失</w:t>
      </w:r>
      <w:r>
        <w:rPr>
          <w:rFonts w:hint="eastAsia" w:ascii="宋体" w:hAnsi="宋体" w:eastAsia="宋体" w:cs="宋体"/>
          <w:szCs w:val="21"/>
          <w:highlight w:val="none"/>
          <w:lang w:val="en-US" w:eastAsia="zh-CN"/>
        </w:rPr>
        <w:t>及人员伤亡等事故</w:t>
      </w:r>
      <w:r>
        <w:rPr>
          <w:rFonts w:hint="eastAsia" w:ascii="宋体" w:hAnsi="宋体" w:eastAsia="宋体" w:cs="宋体"/>
          <w:szCs w:val="21"/>
          <w:highlight w:val="none"/>
        </w:rPr>
        <w:t>，餐饮公司应依法承担责任，并赔偿</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损失。</w:t>
      </w:r>
    </w:p>
    <w:p w14:paraId="4AB0AC37">
      <w:pPr>
        <w:spacing w:line="480" w:lineRule="exact"/>
        <w:ind w:firstLine="570"/>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如发生食品卫生事故，餐饮公司应承担连带赔偿责任及所产生的一切费用。</w:t>
      </w:r>
    </w:p>
    <w:p w14:paraId="6C697C65">
      <w:pPr>
        <w:spacing w:line="360" w:lineRule="auto"/>
        <w:ind w:firstLine="525" w:firstLineChars="250"/>
        <w:rPr>
          <w:rFonts w:hint="eastAsia" w:ascii="宋体" w:hAnsi="宋体" w:eastAsia="宋体" w:cs="宋体"/>
          <w:szCs w:val="21"/>
          <w:highlight w:val="none"/>
        </w:rPr>
      </w:pPr>
    </w:p>
    <w:p w14:paraId="4C629786">
      <w:pPr>
        <w:pStyle w:val="2"/>
        <w:rPr>
          <w:rStyle w:val="46"/>
          <w:rFonts w:hint="eastAsia" w:ascii="宋体" w:hAnsi="宋体" w:eastAsia="宋体" w:cs="宋体"/>
          <w:b w:val="0"/>
          <w:bCs w:val="0"/>
          <w:kern w:val="2"/>
          <w:sz w:val="24"/>
          <w:szCs w:val="21"/>
          <w:highlight w:val="none"/>
        </w:rPr>
      </w:pPr>
      <w:r>
        <w:rPr>
          <w:rStyle w:val="46"/>
          <w:rFonts w:hint="eastAsia" w:ascii="宋体" w:hAnsi="宋体" w:eastAsia="宋体" w:cs="宋体"/>
          <w:b/>
          <w:bCs/>
          <w:sz w:val="44"/>
          <w:highlight w:val="none"/>
        </w:rPr>
        <w:br w:type="page"/>
      </w:r>
      <w:r>
        <w:rPr>
          <w:rStyle w:val="46"/>
          <w:rFonts w:hint="eastAsia" w:ascii="宋体" w:hAnsi="宋体" w:eastAsia="宋体" w:cs="宋体"/>
          <w:b/>
          <w:bCs/>
          <w:sz w:val="44"/>
          <w:highlight w:val="none"/>
        </w:rPr>
        <w:t>第五章、比选响应文件格式</w:t>
      </w:r>
      <w:bookmarkEnd w:id="87"/>
    </w:p>
    <w:p w14:paraId="1A26149D">
      <w:pPr>
        <w:pStyle w:val="3"/>
        <w:spacing w:line="360" w:lineRule="auto"/>
        <w:rPr>
          <w:rFonts w:hint="eastAsia" w:ascii="宋体" w:hAnsi="宋体" w:eastAsia="宋体" w:cs="宋体"/>
          <w:sz w:val="21"/>
          <w:szCs w:val="21"/>
          <w:highlight w:val="none"/>
        </w:rPr>
      </w:pPr>
      <w:bookmarkStart w:id="89" w:name="_Toc30258"/>
      <w:bookmarkStart w:id="90" w:name="_Toc5792"/>
      <w:bookmarkStart w:id="91" w:name="_Toc21534"/>
      <w:r>
        <w:rPr>
          <w:rFonts w:hint="eastAsia" w:ascii="宋体" w:hAnsi="宋体" w:eastAsia="宋体" w:cs="宋体"/>
          <w:sz w:val="21"/>
          <w:szCs w:val="21"/>
          <w:highlight w:val="none"/>
        </w:rPr>
        <w:t>一、比选函</w:t>
      </w:r>
      <w:bookmarkEnd w:id="89"/>
      <w:bookmarkEnd w:id="90"/>
      <w:bookmarkEnd w:id="91"/>
    </w:p>
    <w:p w14:paraId="33D3B715">
      <w:pPr>
        <w:widowControl/>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项目编号： </w:t>
      </w:r>
    </w:p>
    <w:p w14:paraId="41E4BD1A">
      <w:pPr>
        <w:widowControl/>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项目名称： </w:t>
      </w:r>
    </w:p>
    <w:p w14:paraId="0BB87129">
      <w:pPr>
        <w:widowControl/>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b/>
          <w:bCs/>
          <w:sz w:val="21"/>
          <w:szCs w:val="21"/>
          <w:highlight w:val="none"/>
        </w:rPr>
        <w:t xml:space="preserve">致: </w:t>
      </w:r>
    </w:p>
    <w:p w14:paraId="5F0F4727">
      <w:pPr>
        <w:widowControl/>
        <w:tabs>
          <w:tab w:val="left" w:pos="2700"/>
        </w:tabs>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1、我们收到并研究了贵单位的比选文件，对全部比选文件予以确认，愿意按比选文件规定的内容，承担本项目的服务，并保证严格履行我们所承诺的责任和义务。</w:t>
      </w:r>
    </w:p>
    <w:p w14:paraId="1C1AC75C">
      <w:pPr>
        <w:widowControl/>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、我们已详细审查全部比选文件，包括修改文件（如果有的话）以及全部参考资料和有关附件。我们完全理解并同意放弃对这方面有不明及误解的权利。</w:t>
      </w:r>
    </w:p>
    <w:p w14:paraId="7475DF8D">
      <w:pPr>
        <w:widowControl/>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、如果我们成交，我们保证按比选文件的要求和比选供应商签订服务合同，并成立项目部，选派专业管理人员和服务人员实施服务合同。</w:t>
      </w:r>
    </w:p>
    <w:p w14:paraId="736D9E98">
      <w:pPr>
        <w:widowControl/>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、我们同意从比选之日起</w:t>
      </w:r>
      <w:r>
        <w:rPr>
          <w:rFonts w:hint="eastAsia" w:ascii="宋体" w:hAnsi="宋体" w:eastAsia="宋体" w:cs="宋体"/>
          <w:sz w:val="21"/>
          <w:szCs w:val="21"/>
          <w:highlight w:val="none"/>
          <w:u w:val="single"/>
        </w:rPr>
        <w:t>90</w:t>
      </w:r>
      <w:r>
        <w:rPr>
          <w:rFonts w:hint="eastAsia" w:ascii="宋体" w:hAnsi="宋体" w:eastAsia="宋体" w:cs="宋体"/>
          <w:sz w:val="21"/>
          <w:szCs w:val="21"/>
          <w:highlight w:val="none"/>
        </w:rPr>
        <w:t>天内遵守本比选文件，在此期限期满之前的任何时间，本比选文件一直对我们具有约束力。</w:t>
      </w:r>
    </w:p>
    <w:p w14:paraId="145597E3">
      <w:pPr>
        <w:widowControl/>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、在制定和执行正式合同之前，本比选文件、比选响应文件连同你方书面的签约通知书，应构成我们双方之间有约束力的合同。</w:t>
      </w:r>
    </w:p>
    <w:p w14:paraId="675B5A75">
      <w:pPr>
        <w:widowControl/>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、我们理解你们并不一定接受最低标报价的比选或受到的任何比选响应文件的约束，同时也理解，你方不负担我们的任何比选费用。</w:t>
      </w:r>
    </w:p>
    <w:p w14:paraId="2AF17C97">
      <w:pPr>
        <w:widowControl/>
        <w:adjustRightInd w:val="0"/>
        <w:snapToGrid w:val="0"/>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比选供应商：</w:t>
      </w:r>
      <w:r>
        <w:rPr>
          <w:rFonts w:hint="eastAsia" w:ascii="宋体" w:hAnsi="宋体" w:eastAsia="宋体" w:cs="宋体"/>
          <w:sz w:val="21"/>
          <w:szCs w:val="21"/>
          <w:highlight w:val="none"/>
          <w:u w:val="single"/>
        </w:rPr>
        <w:t xml:space="preserve">  （公章）</w:t>
      </w:r>
    </w:p>
    <w:p w14:paraId="796817A6">
      <w:pPr>
        <w:widowControl/>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法定代表人或其授权代理人（签字）：</w:t>
      </w:r>
    </w:p>
    <w:p w14:paraId="5E891361">
      <w:pPr>
        <w:widowControl/>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p>
    <w:p w14:paraId="1824CB90">
      <w:pPr>
        <w:widowControl/>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电话：</w:t>
      </w:r>
    </w:p>
    <w:p w14:paraId="7F05DEF5">
      <w:pPr>
        <w:widowControl/>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传真：</w:t>
      </w:r>
    </w:p>
    <w:p w14:paraId="0BF68E52">
      <w:pPr>
        <w:adjustRightInd w:val="0"/>
        <w:snapToGrid w:val="0"/>
        <w:spacing w:line="360" w:lineRule="auto"/>
        <w:rPr>
          <w:rFonts w:hint="eastAsia" w:ascii="宋体" w:hAnsi="宋体" w:eastAsia="宋体" w:cs="宋体"/>
          <w:sz w:val="24"/>
          <w:szCs w:val="21"/>
          <w:highlight w:val="none"/>
        </w:rPr>
      </w:pPr>
      <w:r>
        <w:rPr>
          <w:rFonts w:hint="eastAsia" w:ascii="宋体" w:hAnsi="宋体" w:eastAsia="宋体" w:cs="宋体"/>
          <w:sz w:val="21"/>
          <w:szCs w:val="21"/>
          <w:highlight w:val="none"/>
        </w:rPr>
        <w:t>日期：年月日</w:t>
      </w:r>
    </w:p>
    <w:p w14:paraId="6F0436B6">
      <w:pPr>
        <w:adjustRightInd w:val="0"/>
        <w:snapToGrid w:val="0"/>
        <w:spacing w:line="360" w:lineRule="auto"/>
        <w:rPr>
          <w:rFonts w:hint="eastAsia" w:ascii="宋体" w:hAnsi="宋体" w:eastAsia="宋体" w:cs="宋体"/>
          <w:sz w:val="24"/>
          <w:szCs w:val="21"/>
          <w:highlight w:val="none"/>
        </w:rPr>
      </w:pPr>
      <w:r>
        <w:rPr>
          <w:rFonts w:hint="eastAsia" w:ascii="宋体" w:hAnsi="宋体" w:eastAsia="宋体" w:cs="宋体"/>
          <w:sz w:val="24"/>
          <w:szCs w:val="21"/>
          <w:highlight w:val="none"/>
        </w:rPr>
        <w:br w:type="page"/>
      </w:r>
    </w:p>
    <w:p w14:paraId="4A7B888D">
      <w:pPr>
        <w:pStyle w:val="3"/>
        <w:rPr>
          <w:rFonts w:hint="eastAsia" w:ascii="宋体" w:hAnsi="宋体" w:eastAsia="宋体" w:cs="宋体"/>
          <w:sz w:val="32"/>
          <w:highlight w:val="none"/>
        </w:rPr>
      </w:pPr>
      <w:bookmarkStart w:id="92" w:name="_Toc4293"/>
      <w:bookmarkStart w:id="93" w:name="_Toc4521"/>
      <w:bookmarkStart w:id="94" w:name="_Toc3914"/>
      <w:r>
        <w:rPr>
          <w:rFonts w:hint="eastAsia" w:ascii="宋体" w:hAnsi="宋体" w:eastAsia="宋体" w:cs="宋体"/>
          <w:sz w:val="32"/>
          <w:highlight w:val="none"/>
        </w:rPr>
        <w:t>二、法定代表人授权委托书</w:t>
      </w:r>
      <w:bookmarkEnd w:id="92"/>
      <w:bookmarkEnd w:id="93"/>
      <w:bookmarkEnd w:id="94"/>
    </w:p>
    <w:p w14:paraId="29EE0238">
      <w:pPr>
        <w:adjustRightInd w:val="0"/>
        <w:snapToGrid w:val="0"/>
        <w:spacing w:line="360" w:lineRule="auto"/>
        <w:rPr>
          <w:rFonts w:hint="eastAsia" w:ascii="宋体" w:hAnsi="宋体" w:eastAsia="宋体" w:cs="宋体"/>
          <w:sz w:val="21"/>
          <w:szCs w:val="21"/>
          <w:highlight w:val="none"/>
          <w:u w:val="single"/>
        </w:rPr>
      </w:pPr>
    </w:p>
    <w:p w14:paraId="644D5D85">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致：</w:t>
      </w:r>
    </w:p>
    <w:p w14:paraId="20932845">
      <w:pPr>
        <w:adjustRightInd w:val="0"/>
        <w:snapToGrid w:val="0"/>
        <w:spacing w:line="360" w:lineRule="auto"/>
        <w:ind w:firstLine="42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本授权书在此声明：</w:t>
      </w:r>
      <w:r>
        <w:rPr>
          <w:rFonts w:hint="eastAsia" w:ascii="宋体" w:hAnsi="宋体" w:eastAsia="宋体" w:cs="宋体"/>
          <w:sz w:val="21"/>
          <w:szCs w:val="21"/>
          <w:highlight w:val="none"/>
          <w:u w:val="single"/>
        </w:rPr>
        <w:t xml:space="preserve">   （比选供应商名称）   的（职务）、（姓名）</w:t>
      </w:r>
      <w:r>
        <w:rPr>
          <w:rFonts w:hint="eastAsia" w:ascii="宋体" w:hAnsi="宋体" w:eastAsia="宋体" w:cs="宋体"/>
          <w:sz w:val="21"/>
          <w:szCs w:val="21"/>
          <w:highlight w:val="none"/>
        </w:rPr>
        <w:t>以本单位法人代表的身份，代表本单位授权</w:t>
      </w:r>
      <w:r>
        <w:rPr>
          <w:rFonts w:hint="eastAsia" w:ascii="宋体" w:hAnsi="宋体" w:eastAsia="宋体" w:cs="宋体"/>
          <w:sz w:val="21"/>
          <w:szCs w:val="21"/>
          <w:highlight w:val="none"/>
          <w:u w:val="single"/>
        </w:rPr>
        <w:t>（职务）、（姓名）</w:t>
      </w:r>
      <w:r>
        <w:rPr>
          <w:rFonts w:hint="eastAsia" w:ascii="宋体" w:hAnsi="宋体" w:eastAsia="宋体" w:cs="宋体"/>
          <w:sz w:val="21"/>
          <w:szCs w:val="21"/>
          <w:highlight w:val="none"/>
        </w:rPr>
        <w:t>为我单位的合法代表，该代理人在</w:t>
      </w:r>
      <w:r>
        <w:rPr>
          <w:rFonts w:hint="eastAsia" w:ascii="宋体" w:hAnsi="宋体" w:eastAsia="宋体" w:cs="宋体"/>
          <w:sz w:val="21"/>
          <w:szCs w:val="21"/>
          <w:highlight w:val="none"/>
          <w:u w:val="single"/>
        </w:rPr>
        <w:t xml:space="preserve">                  项目</w:t>
      </w:r>
      <w:r>
        <w:rPr>
          <w:rFonts w:hint="eastAsia" w:ascii="宋体" w:hAnsi="宋体" w:eastAsia="宋体" w:cs="宋体"/>
          <w:sz w:val="21"/>
          <w:szCs w:val="21"/>
          <w:highlight w:val="none"/>
        </w:rPr>
        <w:t>的比选活动、合同谈判、协议书签署等相关行为中，有权全权处理与之相关的一切事宜。</w:t>
      </w:r>
    </w:p>
    <w:p w14:paraId="1EAA56B9">
      <w:pPr>
        <w:adjustRightInd w:val="0"/>
        <w:snapToGrid w:val="0"/>
        <w:spacing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本授权书期限自</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日起至</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日止。</w:t>
      </w:r>
    </w:p>
    <w:p w14:paraId="42E1DC4C">
      <w:pPr>
        <w:pStyle w:val="20"/>
        <w:adjustRightInd w:val="0"/>
        <w:snapToGrid w:val="0"/>
        <w:spacing w:line="360" w:lineRule="auto"/>
        <w:ind w:leftChars="0" w:firstLine="42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在此授权范围和期限内，被授权代理人所实施的行为具有法律效力，授权人予以认可。</w:t>
      </w:r>
    </w:p>
    <w:p w14:paraId="57F7C023">
      <w:pPr>
        <w:pStyle w:val="20"/>
        <w:adjustRightInd w:val="0"/>
        <w:snapToGrid w:val="0"/>
        <w:spacing w:line="360" w:lineRule="auto"/>
        <w:ind w:left="506" w:firstLine="554"/>
        <w:rPr>
          <w:rFonts w:hint="eastAsia" w:ascii="宋体" w:hAnsi="宋体" w:eastAsia="宋体" w:cs="宋体"/>
          <w:sz w:val="21"/>
          <w:szCs w:val="21"/>
          <w:highlight w:val="none"/>
        </w:rPr>
      </w:pPr>
    </w:p>
    <w:p w14:paraId="60D541EA">
      <w:pPr>
        <w:adjustRightInd w:val="0"/>
        <w:snapToGrid w:val="0"/>
        <w:spacing w:line="360" w:lineRule="auto"/>
        <w:rPr>
          <w:rFonts w:hint="eastAsia" w:ascii="宋体" w:hAnsi="宋体" w:eastAsia="宋体" w:cs="宋体"/>
          <w:sz w:val="21"/>
          <w:szCs w:val="21"/>
          <w:highlight w:val="none"/>
        </w:rPr>
      </w:pPr>
    </w:p>
    <w:p w14:paraId="102A602B">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比选供应商名称：</w:t>
      </w:r>
      <w:r>
        <w:rPr>
          <w:rFonts w:hint="eastAsia" w:ascii="宋体" w:hAnsi="宋体" w:eastAsia="宋体" w:cs="宋体"/>
          <w:sz w:val="21"/>
          <w:szCs w:val="21"/>
          <w:highlight w:val="none"/>
          <w:u w:val="single"/>
        </w:rPr>
        <w:t xml:space="preserve">            （盖章）           </w:t>
      </w:r>
    </w:p>
    <w:p w14:paraId="14C8110B">
      <w:pPr>
        <w:adjustRightInd w:val="0"/>
        <w:snapToGrid w:val="0"/>
        <w:spacing w:line="360" w:lineRule="auto"/>
        <w:ind w:left="5320" w:hanging="5320"/>
        <w:rPr>
          <w:rFonts w:hint="eastAsia" w:ascii="宋体" w:hAnsi="宋体" w:eastAsia="宋体" w:cs="宋体"/>
          <w:spacing w:val="20"/>
          <w:sz w:val="21"/>
          <w:szCs w:val="21"/>
          <w:highlight w:val="none"/>
        </w:rPr>
      </w:pPr>
    </w:p>
    <w:p w14:paraId="17865CD1">
      <w:pPr>
        <w:adjustRightInd w:val="0"/>
        <w:snapToGrid w:val="0"/>
        <w:spacing w:line="360" w:lineRule="auto"/>
        <w:ind w:left="5320" w:hanging="5320"/>
        <w:rPr>
          <w:rFonts w:hint="eastAsia" w:ascii="宋体" w:hAnsi="宋体" w:eastAsia="宋体" w:cs="宋体"/>
          <w:sz w:val="21"/>
          <w:szCs w:val="21"/>
          <w:highlight w:val="none"/>
          <w:u w:val="single"/>
        </w:rPr>
      </w:pPr>
      <w:r>
        <w:rPr>
          <w:rFonts w:hint="eastAsia" w:ascii="宋体" w:hAnsi="宋体" w:eastAsia="宋体" w:cs="宋体"/>
          <w:spacing w:val="20"/>
          <w:sz w:val="21"/>
          <w:szCs w:val="21"/>
          <w:highlight w:val="none"/>
        </w:rPr>
        <w:t>授权人</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（签字）             </w:t>
      </w:r>
    </w:p>
    <w:p w14:paraId="67BA64E8">
      <w:pPr>
        <w:adjustRightInd w:val="0"/>
        <w:snapToGrid w:val="0"/>
        <w:spacing w:line="360" w:lineRule="auto"/>
        <w:rPr>
          <w:rFonts w:hint="eastAsia" w:ascii="宋体" w:hAnsi="宋体" w:eastAsia="宋体" w:cs="宋体"/>
          <w:sz w:val="21"/>
          <w:szCs w:val="21"/>
          <w:highlight w:val="none"/>
          <w:u w:val="single"/>
        </w:rPr>
      </w:pPr>
    </w:p>
    <w:p w14:paraId="60282AD7">
      <w:pPr>
        <w:adjustRightInd w:val="0"/>
        <w:snapToGrid w:val="0"/>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被授权代理人：</w:t>
      </w:r>
      <w:r>
        <w:rPr>
          <w:rFonts w:hint="eastAsia" w:ascii="宋体" w:hAnsi="宋体" w:eastAsia="宋体" w:cs="宋体"/>
          <w:sz w:val="21"/>
          <w:szCs w:val="21"/>
          <w:highlight w:val="none"/>
          <w:u w:val="single"/>
        </w:rPr>
        <w:t xml:space="preserve">        （签字）        </w:t>
      </w:r>
    </w:p>
    <w:p w14:paraId="0261FD25">
      <w:pPr>
        <w:adjustRightInd w:val="0"/>
        <w:snapToGrid w:val="0"/>
        <w:spacing w:line="360" w:lineRule="auto"/>
        <w:rPr>
          <w:rFonts w:hint="eastAsia" w:ascii="宋体" w:hAnsi="宋体" w:eastAsia="宋体" w:cs="宋体"/>
          <w:sz w:val="21"/>
          <w:szCs w:val="21"/>
          <w:highlight w:val="none"/>
        </w:rPr>
      </w:pPr>
    </w:p>
    <w:p w14:paraId="40413E5F">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日期：年月日</w:t>
      </w:r>
    </w:p>
    <w:p w14:paraId="46B0B6B7">
      <w:pPr>
        <w:widowControl/>
        <w:tabs>
          <w:tab w:val="left" w:pos="5580"/>
        </w:tabs>
        <w:adjustRightInd w:val="0"/>
        <w:snapToGrid w:val="0"/>
        <w:spacing w:line="360" w:lineRule="auto"/>
        <w:jc w:val="center"/>
        <w:rPr>
          <w:rFonts w:hint="eastAsia" w:ascii="宋体" w:hAnsi="宋体" w:eastAsia="宋体" w:cs="宋体"/>
          <w:sz w:val="24"/>
          <w:szCs w:val="21"/>
          <w:highlight w:val="none"/>
        </w:rPr>
      </w:pPr>
      <w:r>
        <w:rPr>
          <w:rFonts w:hint="eastAsia" w:ascii="宋体" w:hAnsi="宋体" w:eastAsia="宋体" w:cs="宋体"/>
          <w:b/>
          <w:bCs/>
          <w:sz w:val="21"/>
          <w:szCs w:val="21"/>
          <w:highlight w:val="none"/>
        </w:rPr>
        <w:t>注：须附法人代表及法人授权代表身份证（复印件加盖公章）</w:t>
      </w:r>
    </w:p>
    <w:p w14:paraId="7ECE881E">
      <w:pPr>
        <w:rPr>
          <w:rFonts w:hint="eastAsia" w:ascii="宋体" w:hAnsi="宋体" w:eastAsia="宋体" w:cs="宋体"/>
          <w:sz w:val="24"/>
          <w:szCs w:val="21"/>
          <w:highlight w:val="none"/>
        </w:rPr>
      </w:pPr>
      <w:r>
        <w:rPr>
          <w:rFonts w:hint="eastAsia" w:ascii="宋体" w:hAnsi="宋体" w:eastAsia="宋体" w:cs="宋体"/>
          <w:sz w:val="24"/>
          <w:szCs w:val="21"/>
          <w:highlight w:val="none"/>
        </w:rPr>
        <w:br w:type="page"/>
      </w:r>
    </w:p>
    <w:p w14:paraId="70204489">
      <w:pPr>
        <w:rPr>
          <w:rFonts w:hint="eastAsia" w:ascii="宋体" w:hAnsi="宋体" w:eastAsia="宋体" w:cs="宋体"/>
          <w:sz w:val="24"/>
          <w:szCs w:val="21"/>
          <w:highlight w:val="none"/>
        </w:rPr>
      </w:pPr>
    </w:p>
    <w:p w14:paraId="1802EB9A">
      <w:pPr>
        <w:pStyle w:val="12"/>
        <w:ind w:firstLine="720"/>
        <w:rPr>
          <w:rFonts w:hint="eastAsia" w:ascii="宋体" w:hAnsi="宋体" w:eastAsia="宋体" w:cs="宋体"/>
          <w:sz w:val="36"/>
          <w:szCs w:val="28"/>
          <w:highlight w:val="none"/>
        </w:rPr>
      </w:pPr>
    </w:p>
    <w:p w14:paraId="55E91680">
      <w:pPr>
        <w:pStyle w:val="3"/>
        <w:rPr>
          <w:rFonts w:hint="eastAsia" w:ascii="宋体" w:hAnsi="宋体" w:eastAsia="宋体" w:cs="宋体"/>
          <w:sz w:val="32"/>
          <w:highlight w:val="none"/>
        </w:rPr>
      </w:pPr>
      <w:bookmarkStart w:id="95" w:name="_Toc8453"/>
      <w:bookmarkStart w:id="96" w:name="_Toc18875"/>
      <w:bookmarkStart w:id="97" w:name="_Toc27592"/>
      <w:r>
        <w:rPr>
          <w:rFonts w:hint="eastAsia" w:ascii="宋体" w:hAnsi="宋体" w:eastAsia="宋体" w:cs="宋体"/>
          <w:sz w:val="32"/>
          <w:highlight w:val="none"/>
        </w:rPr>
        <w:t>四、比选供应商基本情况表</w:t>
      </w:r>
      <w:bookmarkEnd w:id="95"/>
      <w:bookmarkEnd w:id="96"/>
      <w:bookmarkEnd w:id="97"/>
    </w:p>
    <w:tbl>
      <w:tblPr>
        <w:tblStyle w:val="32"/>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1179"/>
        <w:gridCol w:w="794"/>
        <w:gridCol w:w="1973"/>
        <w:gridCol w:w="1972"/>
        <w:gridCol w:w="1973"/>
      </w:tblGrid>
      <w:tr w14:paraId="2593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29" w:type="dxa"/>
            <w:gridSpan w:val="2"/>
            <w:vAlign w:val="center"/>
          </w:tcPr>
          <w:p w14:paraId="03DCACD0">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单位名称</w:t>
            </w:r>
          </w:p>
        </w:tc>
        <w:tc>
          <w:tcPr>
            <w:tcW w:w="6712" w:type="dxa"/>
            <w:gridSpan w:val="4"/>
            <w:vAlign w:val="center"/>
          </w:tcPr>
          <w:p w14:paraId="0B14948F">
            <w:pPr>
              <w:adjustRightInd w:val="0"/>
              <w:snapToGrid w:val="0"/>
              <w:spacing w:line="360" w:lineRule="auto"/>
              <w:jc w:val="center"/>
              <w:rPr>
                <w:rFonts w:hint="eastAsia" w:ascii="宋体" w:hAnsi="宋体" w:eastAsia="宋体" w:cs="宋体"/>
                <w:sz w:val="21"/>
                <w:szCs w:val="21"/>
                <w:highlight w:val="none"/>
              </w:rPr>
            </w:pPr>
          </w:p>
        </w:tc>
      </w:tr>
      <w:tr w14:paraId="3440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29" w:type="dxa"/>
            <w:gridSpan w:val="2"/>
            <w:vAlign w:val="center"/>
          </w:tcPr>
          <w:p w14:paraId="0F3C3533">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地址、邮编、电话</w:t>
            </w:r>
          </w:p>
        </w:tc>
        <w:tc>
          <w:tcPr>
            <w:tcW w:w="6712" w:type="dxa"/>
            <w:gridSpan w:val="4"/>
            <w:vAlign w:val="center"/>
          </w:tcPr>
          <w:p w14:paraId="1F7F3896">
            <w:pPr>
              <w:adjustRightInd w:val="0"/>
              <w:snapToGrid w:val="0"/>
              <w:spacing w:line="360" w:lineRule="auto"/>
              <w:jc w:val="center"/>
              <w:rPr>
                <w:rFonts w:hint="eastAsia" w:ascii="宋体" w:hAnsi="宋体" w:eastAsia="宋体" w:cs="宋体"/>
                <w:sz w:val="21"/>
                <w:szCs w:val="21"/>
                <w:highlight w:val="none"/>
              </w:rPr>
            </w:pPr>
          </w:p>
        </w:tc>
      </w:tr>
      <w:tr w14:paraId="1841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29" w:type="dxa"/>
            <w:gridSpan w:val="2"/>
            <w:vAlign w:val="center"/>
          </w:tcPr>
          <w:p w14:paraId="2407F4A8">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主要业务范围</w:t>
            </w:r>
          </w:p>
        </w:tc>
        <w:tc>
          <w:tcPr>
            <w:tcW w:w="6712" w:type="dxa"/>
            <w:gridSpan w:val="4"/>
            <w:vAlign w:val="center"/>
          </w:tcPr>
          <w:p w14:paraId="0DF6CBA0">
            <w:pPr>
              <w:adjustRightInd w:val="0"/>
              <w:snapToGrid w:val="0"/>
              <w:spacing w:line="360" w:lineRule="auto"/>
              <w:jc w:val="center"/>
              <w:rPr>
                <w:rFonts w:hint="eastAsia" w:ascii="宋体" w:hAnsi="宋体" w:eastAsia="宋体" w:cs="宋体"/>
                <w:sz w:val="21"/>
                <w:szCs w:val="21"/>
                <w:highlight w:val="none"/>
              </w:rPr>
            </w:pPr>
          </w:p>
        </w:tc>
      </w:tr>
      <w:tr w14:paraId="7E9D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29" w:type="dxa"/>
            <w:gridSpan w:val="2"/>
            <w:vAlign w:val="center"/>
          </w:tcPr>
          <w:p w14:paraId="1A63D345">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单位性质</w:t>
            </w:r>
          </w:p>
        </w:tc>
        <w:tc>
          <w:tcPr>
            <w:tcW w:w="6712" w:type="dxa"/>
            <w:gridSpan w:val="4"/>
            <w:vAlign w:val="center"/>
          </w:tcPr>
          <w:p w14:paraId="5E15E091">
            <w:pPr>
              <w:adjustRightInd w:val="0"/>
              <w:snapToGrid w:val="0"/>
              <w:spacing w:line="360" w:lineRule="auto"/>
              <w:jc w:val="center"/>
              <w:rPr>
                <w:rFonts w:hint="eastAsia" w:ascii="宋体" w:hAnsi="宋体" w:eastAsia="宋体" w:cs="宋体"/>
                <w:sz w:val="21"/>
                <w:szCs w:val="21"/>
                <w:highlight w:val="none"/>
              </w:rPr>
            </w:pPr>
          </w:p>
        </w:tc>
      </w:tr>
      <w:tr w14:paraId="49FC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29" w:type="dxa"/>
            <w:gridSpan w:val="2"/>
            <w:vAlign w:val="center"/>
          </w:tcPr>
          <w:p w14:paraId="104FC3D4">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成立时间</w:t>
            </w:r>
          </w:p>
        </w:tc>
        <w:tc>
          <w:tcPr>
            <w:tcW w:w="6712" w:type="dxa"/>
            <w:gridSpan w:val="4"/>
            <w:vAlign w:val="center"/>
          </w:tcPr>
          <w:p w14:paraId="24F3DB40">
            <w:pPr>
              <w:adjustRightInd w:val="0"/>
              <w:snapToGrid w:val="0"/>
              <w:spacing w:line="360" w:lineRule="auto"/>
              <w:jc w:val="center"/>
              <w:rPr>
                <w:rFonts w:hint="eastAsia" w:ascii="宋体" w:hAnsi="宋体" w:eastAsia="宋体" w:cs="宋体"/>
                <w:sz w:val="21"/>
                <w:szCs w:val="21"/>
                <w:highlight w:val="none"/>
              </w:rPr>
            </w:pPr>
          </w:p>
        </w:tc>
      </w:tr>
      <w:tr w14:paraId="4A8C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41" w:type="dxa"/>
            <w:gridSpan w:val="6"/>
            <w:vAlign w:val="center"/>
          </w:tcPr>
          <w:p w14:paraId="391855AA">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 位人 员 职 称 构 成 情 况</w:t>
            </w:r>
          </w:p>
        </w:tc>
      </w:tr>
      <w:tr w14:paraId="488A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0" w:type="dxa"/>
            <w:vAlign w:val="center"/>
          </w:tcPr>
          <w:p w14:paraId="0F4111B7">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人员总数</w:t>
            </w:r>
          </w:p>
        </w:tc>
        <w:tc>
          <w:tcPr>
            <w:tcW w:w="1973" w:type="dxa"/>
            <w:gridSpan w:val="2"/>
            <w:vAlign w:val="center"/>
          </w:tcPr>
          <w:p w14:paraId="0CA20859">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高级职称</w:t>
            </w:r>
          </w:p>
        </w:tc>
        <w:tc>
          <w:tcPr>
            <w:tcW w:w="1973" w:type="dxa"/>
            <w:vAlign w:val="center"/>
          </w:tcPr>
          <w:p w14:paraId="2825BC71">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中级职称</w:t>
            </w:r>
          </w:p>
        </w:tc>
        <w:tc>
          <w:tcPr>
            <w:tcW w:w="1972" w:type="dxa"/>
            <w:vAlign w:val="center"/>
          </w:tcPr>
          <w:p w14:paraId="63D182E0">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初级职称</w:t>
            </w:r>
          </w:p>
        </w:tc>
        <w:tc>
          <w:tcPr>
            <w:tcW w:w="1973" w:type="dxa"/>
            <w:vAlign w:val="center"/>
          </w:tcPr>
          <w:p w14:paraId="482AEA30">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其它</w:t>
            </w:r>
          </w:p>
        </w:tc>
      </w:tr>
      <w:tr w14:paraId="1618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50" w:type="dxa"/>
            <w:vAlign w:val="center"/>
          </w:tcPr>
          <w:p w14:paraId="6451E1E0">
            <w:pPr>
              <w:adjustRightInd w:val="0"/>
              <w:snapToGrid w:val="0"/>
              <w:spacing w:line="360" w:lineRule="auto"/>
              <w:jc w:val="center"/>
              <w:rPr>
                <w:rFonts w:hint="eastAsia" w:ascii="宋体" w:hAnsi="宋体" w:eastAsia="宋体" w:cs="宋体"/>
                <w:sz w:val="21"/>
                <w:szCs w:val="21"/>
                <w:highlight w:val="none"/>
              </w:rPr>
            </w:pPr>
          </w:p>
        </w:tc>
        <w:tc>
          <w:tcPr>
            <w:tcW w:w="1973" w:type="dxa"/>
            <w:gridSpan w:val="2"/>
            <w:vAlign w:val="center"/>
          </w:tcPr>
          <w:p w14:paraId="5E379D56">
            <w:pPr>
              <w:adjustRightInd w:val="0"/>
              <w:snapToGrid w:val="0"/>
              <w:spacing w:line="360" w:lineRule="auto"/>
              <w:jc w:val="center"/>
              <w:rPr>
                <w:rFonts w:hint="eastAsia" w:ascii="宋体" w:hAnsi="宋体" w:eastAsia="宋体" w:cs="宋体"/>
                <w:sz w:val="21"/>
                <w:szCs w:val="21"/>
                <w:highlight w:val="none"/>
              </w:rPr>
            </w:pPr>
          </w:p>
        </w:tc>
        <w:tc>
          <w:tcPr>
            <w:tcW w:w="1973" w:type="dxa"/>
            <w:vAlign w:val="center"/>
          </w:tcPr>
          <w:p w14:paraId="537AC5C4">
            <w:pPr>
              <w:adjustRightInd w:val="0"/>
              <w:snapToGrid w:val="0"/>
              <w:spacing w:line="360" w:lineRule="auto"/>
              <w:jc w:val="center"/>
              <w:rPr>
                <w:rFonts w:hint="eastAsia" w:ascii="宋体" w:hAnsi="宋体" w:eastAsia="宋体" w:cs="宋体"/>
                <w:sz w:val="21"/>
                <w:szCs w:val="21"/>
                <w:highlight w:val="none"/>
              </w:rPr>
            </w:pPr>
          </w:p>
        </w:tc>
        <w:tc>
          <w:tcPr>
            <w:tcW w:w="1972" w:type="dxa"/>
            <w:vAlign w:val="center"/>
          </w:tcPr>
          <w:p w14:paraId="696957C8">
            <w:pPr>
              <w:adjustRightInd w:val="0"/>
              <w:snapToGrid w:val="0"/>
              <w:spacing w:line="360" w:lineRule="auto"/>
              <w:jc w:val="center"/>
              <w:rPr>
                <w:rFonts w:hint="eastAsia" w:ascii="宋体" w:hAnsi="宋体" w:eastAsia="宋体" w:cs="宋体"/>
                <w:sz w:val="21"/>
                <w:szCs w:val="21"/>
                <w:highlight w:val="none"/>
              </w:rPr>
            </w:pPr>
          </w:p>
        </w:tc>
        <w:tc>
          <w:tcPr>
            <w:tcW w:w="1973" w:type="dxa"/>
            <w:vAlign w:val="center"/>
          </w:tcPr>
          <w:p w14:paraId="38BC8092">
            <w:pPr>
              <w:adjustRightInd w:val="0"/>
              <w:snapToGrid w:val="0"/>
              <w:spacing w:line="360" w:lineRule="auto"/>
              <w:jc w:val="center"/>
              <w:rPr>
                <w:rFonts w:hint="eastAsia" w:ascii="宋体" w:hAnsi="宋体" w:eastAsia="宋体" w:cs="宋体"/>
                <w:sz w:val="21"/>
                <w:szCs w:val="21"/>
                <w:highlight w:val="none"/>
              </w:rPr>
            </w:pPr>
          </w:p>
        </w:tc>
      </w:tr>
    </w:tbl>
    <w:p w14:paraId="3069F418">
      <w:pPr>
        <w:adjustRightInd w:val="0"/>
        <w:snapToGrid w:val="0"/>
        <w:spacing w:line="360" w:lineRule="auto"/>
        <w:rPr>
          <w:rFonts w:hint="eastAsia" w:ascii="宋体" w:hAnsi="宋体" w:eastAsia="宋体" w:cs="宋体"/>
          <w:sz w:val="24"/>
          <w:szCs w:val="21"/>
          <w:highlight w:val="none"/>
        </w:rPr>
      </w:pPr>
    </w:p>
    <w:p w14:paraId="1BBE41B7">
      <w:pPr>
        <w:adjustRightInd w:val="0"/>
        <w:snapToGrid w:val="0"/>
        <w:spacing w:line="360" w:lineRule="auto"/>
        <w:rPr>
          <w:rFonts w:hint="eastAsia" w:ascii="宋体" w:hAnsi="宋体" w:eastAsia="宋体" w:cs="宋体"/>
          <w:sz w:val="24"/>
          <w:szCs w:val="21"/>
          <w:highlight w:val="none"/>
        </w:rPr>
      </w:pPr>
    </w:p>
    <w:p w14:paraId="21922CBD">
      <w:pPr>
        <w:adjustRightInd w:val="0"/>
        <w:snapToGrid w:val="0"/>
        <w:spacing w:line="360" w:lineRule="auto"/>
        <w:rPr>
          <w:rFonts w:hint="eastAsia" w:ascii="宋体" w:hAnsi="宋体" w:eastAsia="宋体" w:cs="宋体"/>
          <w:sz w:val="24"/>
          <w:szCs w:val="21"/>
          <w:highlight w:val="none"/>
          <w:u w:val="single"/>
        </w:rPr>
      </w:pPr>
      <w:r>
        <w:rPr>
          <w:rFonts w:hint="eastAsia" w:ascii="宋体" w:hAnsi="宋体" w:eastAsia="宋体" w:cs="宋体"/>
          <w:sz w:val="24"/>
          <w:szCs w:val="21"/>
          <w:highlight w:val="none"/>
        </w:rPr>
        <w:t>比选供应商：</w:t>
      </w:r>
      <w:r>
        <w:rPr>
          <w:rFonts w:hint="eastAsia" w:ascii="宋体" w:hAnsi="宋体" w:eastAsia="宋体" w:cs="宋体"/>
          <w:sz w:val="24"/>
          <w:szCs w:val="21"/>
          <w:highlight w:val="none"/>
          <w:u w:val="single"/>
        </w:rPr>
        <w:t xml:space="preserve">     （公章）        </w:t>
      </w:r>
    </w:p>
    <w:p w14:paraId="6E9D04C7">
      <w:pPr>
        <w:adjustRightInd w:val="0"/>
        <w:snapToGrid w:val="0"/>
        <w:spacing w:line="360" w:lineRule="auto"/>
        <w:rPr>
          <w:rFonts w:hint="eastAsia" w:ascii="宋体" w:hAnsi="宋体" w:eastAsia="宋体" w:cs="宋体"/>
          <w:sz w:val="24"/>
          <w:szCs w:val="21"/>
          <w:highlight w:val="none"/>
          <w:u w:val="single"/>
        </w:rPr>
      </w:pPr>
      <w:r>
        <w:rPr>
          <w:rFonts w:hint="eastAsia" w:ascii="宋体" w:hAnsi="宋体" w:eastAsia="宋体" w:cs="宋体"/>
          <w:sz w:val="24"/>
          <w:szCs w:val="21"/>
          <w:highlight w:val="none"/>
        </w:rPr>
        <w:t>法定代表人或其授权代理人：</w:t>
      </w:r>
      <w:r>
        <w:rPr>
          <w:rFonts w:hint="eastAsia" w:ascii="宋体" w:hAnsi="宋体" w:eastAsia="宋体" w:cs="宋体"/>
          <w:sz w:val="24"/>
          <w:szCs w:val="21"/>
          <w:highlight w:val="none"/>
          <w:u w:val="single"/>
        </w:rPr>
        <w:t xml:space="preserve">  （签字）       </w:t>
      </w:r>
    </w:p>
    <w:p w14:paraId="1A3A3F36">
      <w:pPr>
        <w:adjustRightInd w:val="0"/>
        <w:snapToGrid w:val="0"/>
        <w:spacing w:line="360" w:lineRule="auto"/>
        <w:rPr>
          <w:rFonts w:hint="eastAsia" w:ascii="宋体" w:hAnsi="宋体" w:eastAsia="宋体" w:cs="宋体"/>
          <w:sz w:val="24"/>
          <w:szCs w:val="21"/>
          <w:highlight w:val="none"/>
        </w:rPr>
      </w:pPr>
      <w:r>
        <w:rPr>
          <w:rFonts w:hint="eastAsia" w:ascii="宋体" w:hAnsi="宋体" w:eastAsia="宋体" w:cs="宋体"/>
          <w:sz w:val="24"/>
          <w:szCs w:val="21"/>
          <w:highlight w:val="none"/>
        </w:rPr>
        <w:t>日期：</w:t>
      </w:r>
      <w:r>
        <w:rPr>
          <w:rFonts w:hint="eastAsia" w:ascii="宋体" w:hAnsi="宋体" w:eastAsia="宋体" w:cs="宋体"/>
          <w:sz w:val="24"/>
          <w:szCs w:val="21"/>
          <w:highlight w:val="none"/>
          <w:lang w:val="en-US" w:eastAsia="zh-CN"/>
        </w:rPr>
        <w:t xml:space="preserve">  </w:t>
      </w:r>
      <w:r>
        <w:rPr>
          <w:rFonts w:hint="eastAsia" w:ascii="宋体" w:hAnsi="宋体" w:eastAsia="宋体" w:cs="宋体"/>
          <w:sz w:val="24"/>
          <w:szCs w:val="21"/>
          <w:highlight w:val="none"/>
        </w:rPr>
        <w:t>年</w:t>
      </w:r>
      <w:r>
        <w:rPr>
          <w:rFonts w:hint="eastAsia" w:ascii="宋体" w:hAnsi="宋体" w:eastAsia="宋体" w:cs="宋体"/>
          <w:sz w:val="24"/>
          <w:szCs w:val="21"/>
          <w:highlight w:val="none"/>
          <w:lang w:val="en-US" w:eastAsia="zh-CN"/>
        </w:rPr>
        <w:t xml:space="preserve">  </w:t>
      </w:r>
      <w:r>
        <w:rPr>
          <w:rFonts w:hint="eastAsia" w:ascii="宋体" w:hAnsi="宋体" w:eastAsia="宋体" w:cs="宋体"/>
          <w:sz w:val="24"/>
          <w:szCs w:val="21"/>
          <w:highlight w:val="none"/>
        </w:rPr>
        <w:t>月</w:t>
      </w:r>
      <w:r>
        <w:rPr>
          <w:rFonts w:hint="eastAsia" w:ascii="宋体" w:hAnsi="宋体" w:eastAsia="宋体" w:cs="宋体"/>
          <w:sz w:val="24"/>
          <w:szCs w:val="21"/>
          <w:highlight w:val="none"/>
          <w:lang w:val="en-US" w:eastAsia="zh-CN"/>
        </w:rPr>
        <w:t xml:space="preserve">  </w:t>
      </w:r>
      <w:r>
        <w:rPr>
          <w:rFonts w:hint="eastAsia" w:ascii="宋体" w:hAnsi="宋体" w:eastAsia="宋体" w:cs="宋体"/>
          <w:sz w:val="24"/>
          <w:szCs w:val="21"/>
          <w:highlight w:val="none"/>
        </w:rPr>
        <w:t>日</w:t>
      </w:r>
    </w:p>
    <w:p w14:paraId="7D904DAA">
      <w:pPr>
        <w:pStyle w:val="3"/>
        <w:rPr>
          <w:rFonts w:hint="eastAsia" w:ascii="宋体" w:hAnsi="宋体" w:eastAsia="宋体" w:cs="宋体"/>
          <w:sz w:val="32"/>
          <w:highlight w:val="none"/>
        </w:rPr>
      </w:pPr>
      <w:r>
        <w:rPr>
          <w:rFonts w:hint="eastAsia" w:ascii="宋体" w:hAnsi="宋体" w:eastAsia="宋体" w:cs="宋体"/>
          <w:sz w:val="32"/>
          <w:highlight w:val="none"/>
        </w:rPr>
        <w:br w:type="page"/>
      </w:r>
      <w:bookmarkStart w:id="98" w:name="_Toc6093"/>
      <w:bookmarkStart w:id="99" w:name="_Toc15384"/>
      <w:bookmarkStart w:id="100" w:name="_Toc8945"/>
      <w:r>
        <w:rPr>
          <w:rFonts w:hint="eastAsia" w:ascii="宋体" w:hAnsi="宋体" w:eastAsia="宋体" w:cs="宋体"/>
          <w:sz w:val="32"/>
          <w:highlight w:val="none"/>
        </w:rPr>
        <w:t>五、服务项目人员构成</w:t>
      </w:r>
      <w:bookmarkEnd w:id="98"/>
      <w:bookmarkEnd w:id="99"/>
      <w:bookmarkEnd w:id="100"/>
    </w:p>
    <w:p w14:paraId="62D3989B">
      <w:pPr>
        <w:adjustRightInd w:val="0"/>
        <w:snapToGrid w:val="0"/>
        <w:spacing w:line="360" w:lineRule="auto"/>
        <w:rPr>
          <w:rFonts w:hint="eastAsia" w:ascii="宋体" w:hAnsi="宋体" w:eastAsia="宋体" w:cs="宋体"/>
          <w:sz w:val="24"/>
          <w:szCs w:val="21"/>
          <w:highlight w:val="none"/>
        </w:rPr>
      </w:pPr>
    </w:p>
    <w:tbl>
      <w:tblPr>
        <w:tblStyle w:val="32"/>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069"/>
        <w:gridCol w:w="1069"/>
        <w:gridCol w:w="2140"/>
        <w:gridCol w:w="1221"/>
        <w:gridCol w:w="1373"/>
        <w:gridCol w:w="1681"/>
      </w:tblGrid>
      <w:tr w14:paraId="7EF6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9741" w:type="dxa"/>
            <w:gridSpan w:val="7"/>
          </w:tcPr>
          <w:p w14:paraId="4886DB9E">
            <w:pPr>
              <w:pStyle w:val="16"/>
              <w:tabs>
                <w:tab w:val="left" w:pos="6300"/>
              </w:tabs>
              <w:snapToGrid w:val="0"/>
              <w:spacing w:line="360" w:lineRule="auto"/>
              <w:ind w:firstLine="0"/>
              <w:jc w:val="center"/>
              <w:rPr>
                <w:rFonts w:hint="eastAsia" w:ascii="宋体" w:hAnsi="宋体" w:eastAsia="宋体" w:cs="宋体"/>
                <w:sz w:val="21"/>
                <w:szCs w:val="21"/>
                <w:highlight w:val="none"/>
              </w:rPr>
            </w:pPr>
          </w:p>
          <w:p w14:paraId="349FB7CD">
            <w:pPr>
              <w:pStyle w:val="16"/>
              <w:tabs>
                <w:tab w:val="left" w:pos="6300"/>
              </w:tabs>
              <w:snapToGrid w:val="0"/>
              <w:spacing w:line="360" w:lineRule="auto"/>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项目总负责人、副总负责人</w:t>
            </w:r>
          </w:p>
        </w:tc>
      </w:tr>
      <w:tr w14:paraId="07E3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1AE2D549">
            <w:pPr>
              <w:pStyle w:val="16"/>
              <w:tabs>
                <w:tab w:val="left" w:pos="6300"/>
              </w:tabs>
              <w:snapToGrid w:val="0"/>
              <w:spacing w:line="360" w:lineRule="auto"/>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姓名</w:t>
            </w:r>
          </w:p>
        </w:tc>
        <w:tc>
          <w:tcPr>
            <w:tcW w:w="1069" w:type="dxa"/>
            <w:vAlign w:val="center"/>
          </w:tcPr>
          <w:p w14:paraId="057CC8C9">
            <w:pPr>
              <w:pStyle w:val="16"/>
              <w:tabs>
                <w:tab w:val="left" w:pos="6300"/>
              </w:tabs>
              <w:snapToGrid w:val="0"/>
              <w:spacing w:line="360" w:lineRule="auto"/>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年龄</w:t>
            </w:r>
          </w:p>
        </w:tc>
        <w:tc>
          <w:tcPr>
            <w:tcW w:w="1069" w:type="dxa"/>
            <w:vAlign w:val="center"/>
          </w:tcPr>
          <w:p w14:paraId="38E24F39">
            <w:pPr>
              <w:pStyle w:val="16"/>
              <w:tabs>
                <w:tab w:val="left" w:pos="6300"/>
              </w:tabs>
              <w:snapToGrid w:val="0"/>
              <w:spacing w:line="360" w:lineRule="auto"/>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职务</w:t>
            </w:r>
          </w:p>
        </w:tc>
        <w:tc>
          <w:tcPr>
            <w:tcW w:w="2140" w:type="dxa"/>
            <w:vAlign w:val="center"/>
          </w:tcPr>
          <w:p w14:paraId="11719D05">
            <w:pPr>
              <w:pStyle w:val="16"/>
              <w:tabs>
                <w:tab w:val="left" w:pos="6300"/>
              </w:tabs>
              <w:snapToGrid w:val="0"/>
              <w:spacing w:line="360" w:lineRule="auto"/>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职称</w:t>
            </w:r>
          </w:p>
        </w:tc>
        <w:tc>
          <w:tcPr>
            <w:tcW w:w="1221" w:type="dxa"/>
            <w:vAlign w:val="center"/>
          </w:tcPr>
          <w:p w14:paraId="59044398">
            <w:pPr>
              <w:pStyle w:val="16"/>
              <w:tabs>
                <w:tab w:val="left" w:pos="6300"/>
              </w:tabs>
              <w:snapToGrid w:val="0"/>
              <w:spacing w:line="360" w:lineRule="auto"/>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专业</w:t>
            </w:r>
          </w:p>
        </w:tc>
        <w:tc>
          <w:tcPr>
            <w:tcW w:w="1373" w:type="dxa"/>
          </w:tcPr>
          <w:p w14:paraId="6F5D234F">
            <w:pPr>
              <w:pStyle w:val="16"/>
              <w:tabs>
                <w:tab w:val="left" w:pos="6300"/>
              </w:tabs>
              <w:snapToGrid w:val="0"/>
              <w:spacing w:line="360" w:lineRule="auto"/>
              <w:ind w:firstLine="0"/>
              <w:rPr>
                <w:rFonts w:hint="eastAsia" w:ascii="宋体" w:hAnsi="宋体" w:eastAsia="宋体" w:cs="宋体"/>
                <w:sz w:val="21"/>
                <w:szCs w:val="21"/>
                <w:highlight w:val="none"/>
              </w:rPr>
            </w:pPr>
          </w:p>
          <w:p w14:paraId="55B9B924">
            <w:pPr>
              <w:pStyle w:val="16"/>
              <w:tabs>
                <w:tab w:val="left" w:pos="6300"/>
              </w:tabs>
              <w:snapToGrid w:val="0"/>
              <w:spacing w:line="360" w:lineRule="auto"/>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学历</w:t>
            </w:r>
          </w:p>
          <w:p w14:paraId="21CBB34C">
            <w:pPr>
              <w:pStyle w:val="16"/>
              <w:tabs>
                <w:tab w:val="left" w:pos="6300"/>
              </w:tabs>
              <w:snapToGrid w:val="0"/>
              <w:spacing w:line="360" w:lineRule="auto"/>
              <w:ind w:firstLine="0"/>
              <w:rPr>
                <w:rFonts w:hint="eastAsia" w:ascii="宋体" w:hAnsi="宋体" w:eastAsia="宋体" w:cs="宋体"/>
                <w:sz w:val="21"/>
                <w:szCs w:val="21"/>
                <w:highlight w:val="none"/>
              </w:rPr>
            </w:pPr>
          </w:p>
        </w:tc>
        <w:tc>
          <w:tcPr>
            <w:tcW w:w="1681" w:type="dxa"/>
            <w:vAlign w:val="center"/>
          </w:tcPr>
          <w:p w14:paraId="3E6ADAA9">
            <w:pPr>
              <w:pStyle w:val="16"/>
              <w:tabs>
                <w:tab w:val="left" w:pos="6300"/>
              </w:tabs>
              <w:snapToGrid w:val="0"/>
              <w:spacing w:line="360" w:lineRule="auto"/>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工作年限</w:t>
            </w:r>
          </w:p>
        </w:tc>
      </w:tr>
      <w:tr w14:paraId="0050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126CEA68">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069" w:type="dxa"/>
            <w:vAlign w:val="center"/>
          </w:tcPr>
          <w:p w14:paraId="2B52D3DF">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069" w:type="dxa"/>
            <w:vAlign w:val="center"/>
          </w:tcPr>
          <w:p w14:paraId="3D1753B0">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2140" w:type="dxa"/>
            <w:vAlign w:val="center"/>
          </w:tcPr>
          <w:p w14:paraId="699FBD2A">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221" w:type="dxa"/>
            <w:vAlign w:val="center"/>
          </w:tcPr>
          <w:p w14:paraId="745C6435">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373" w:type="dxa"/>
          </w:tcPr>
          <w:p w14:paraId="2A00E311">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681" w:type="dxa"/>
            <w:vAlign w:val="center"/>
          </w:tcPr>
          <w:p w14:paraId="02FD92C5">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r>
      <w:tr w14:paraId="12B3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248A38EF">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069" w:type="dxa"/>
            <w:vAlign w:val="center"/>
          </w:tcPr>
          <w:p w14:paraId="1EF7EA31">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069" w:type="dxa"/>
            <w:vAlign w:val="center"/>
          </w:tcPr>
          <w:p w14:paraId="3C6AA869">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2140" w:type="dxa"/>
            <w:vAlign w:val="center"/>
          </w:tcPr>
          <w:p w14:paraId="5247CD5A">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221" w:type="dxa"/>
            <w:vAlign w:val="center"/>
          </w:tcPr>
          <w:p w14:paraId="187B5E05">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373" w:type="dxa"/>
          </w:tcPr>
          <w:p w14:paraId="2863E362">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681" w:type="dxa"/>
            <w:vAlign w:val="center"/>
          </w:tcPr>
          <w:p w14:paraId="03A49640">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r>
      <w:tr w14:paraId="5EB5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1188" w:type="dxa"/>
            <w:vAlign w:val="center"/>
          </w:tcPr>
          <w:p w14:paraId="5DDEB59D">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069" w:type="dxa"/>
            <w:vAlign w:val="center"/>
          </w:tcPr>
          <w:p w14:paraId="686ED796">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069" w:type="dxa"/>
            <w:vAlign w:val="center"/>
          </w:tcPr>
          <w:p w14:paraId="13579FCC">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2140" w:type="dxa"/>
            <w:vAlign w:val="center"/>
          </w:tcPr>
          <w:p w14:paraId="69B2EAA5">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221" w:type="dxa"/>
            <w:vAlign w:val="center"/>
          </w:tcPr>
          <w:p w14:paraId="51C0A494">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373" w:type="dxa"/>
          </w:tcPr>
          <w:p w14:paraId="7B5D52A7">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681" w:type="dxa"/>
            <w:vAlign w:val="center"/>
          </w:tcPr>
          <w:p w14:paraId="30C5ED0E">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r>
      <w:tr w14:paraId="501C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3" w:hRule="atLeast"/>
          <w:jc w:val="center"/>
        </w:trPr>
        <w:tc>
          <w:tcPr>
            <w:tcW w:w="9741" w:type="dxa"/>
            <w:gridSpan w:val="7"/>
          </w:tcPr>
          <w:p w14:paraId="711DBFCA">
            <w:pPr>
              <w:pStyle w:val="16"/>
              <w:tabs>
                <w:tab w:val="left" w:pos="6300"/>
              </w:tabs>
              <w:snapToGrid w:val="0"/>
              <w:spacing w:line="360" w:lineRule="auto"/>
              <w:ind w:firstLine="0"/>
              <w:jc w:val="center"/>
              <w:rPr>
                <w:rFonts w:hint="eastAsia" w:ascii="宋体" w:hAnsi="宋体" w:eastAsia="宋体" w:cs="宋体"/>
                <w:sz w:val="21"/>
                <w:szCs w:val="21"/>
                <w:highlight w:val="none"/>
              </w:rPr>
            </w:pPr>
          </w:p>
          <w:p w14:paraId="17C6E5DE">
            <w:pPr>
              <w:pStyle w:val="16"/>
              <w:tabs>
                <w:tab w:val="left" w:pos="6300"/>
              </w:tabs>
              <w:snapToGrid w:val="0"/>
              <w:spacing w:line="360" w:lineRule="auto"/>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计划用于本项目的主要参与人员</w:t>
            </w:r>
          </w:p>
        </w:tc>
      </w:tr>
      <w:tr w14:paraId="4930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53CA44CB">
            <w:pPr>
              <w:pStyle w:val="16"/>
              <w:tabs>
                <w:tab w:val="left" w:pos="6300"/>
              </w:tabs>
              <w:snapToGrid w:val="0"/>
              <w:spacing w:line="360" w:lineRule="auto"/>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姓名</w:t>
            </w:r>
          </w:p>
        </w:tc>
        <w:tc>
          <w:tcPr>
            <w:tcW w:w="1069" w:type="dxa"/>
            <w:vAlign w:val="center"/>
          </w:tcPr>
          <w:p w14:paraId="79CE5792">
            <w:pPr>
              <w:pStyle w:val="16"/>
              <w:tabs>
                <w:tab w:val="left" w:pos="6300"/>
              </w:tabs>
              <w:snapToGrid w:val="0"/>
              <w:spacing w:line="360" w:lineRule="auto"/>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年龄</w:t>
            </w:r>
          </w:p>
        </w:tc>
        <w:tc>
          <w:tcPr>
            <w:tcW w:w="1069" w:type="dxa"/>
            <w:vAlign w:val="center"/>
          </w:tcPr>
          <w:p w14:paraId="56492F03">
            <w:pPr>
              <w:pStyle w:val="16"/>
              <w:tabs>
                <w:tab w:val="left" w:pos="6300"/>
              </w:tabs>
              <w:snapToGrid w:val="0"/>
              <w:spacing w:line="360" w:lineRule="auto"/>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职务</w:t>
            </w:r>
          </w:p>
        </w:tc>
        <w:tc>
          <w:tcPr>
            <w:tcW w:w="2140" w:type="dxa"/>
            <w:vAlign w:val="center"/>
          </w:tcPr>
          <w:p w14:paraId="0E81E773">
            <w:pPr>
              <w:pStyle w:val="16"/>
              <w:tabs>
                <w:tab w:val="left" w:pos="6300"/>
              </w:tabs>
              <w:snapToGrid w:val="0"/>
              <w:spacing w:line="360" w:lineRule="auto"/>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职称</w:t>
            </w:r>
          </w:p>
        </w:tc>
        <w:tc>
          <w:tcPr>
            <w:tcW w:w="1221" w:type="dxa"/>
            <w:vAlign w:val="center"/>
          </w:tcPr>
          <w:p w14:paraId="00EFA134">
            <w:pPr>
              <w:pStyle w:val="16"/>
              <w:tabs>
                <w:tab w:val="left" w:pos="6300"/>
              </w:tabs>
              <w:snapToGrid w:val="0"/>
              <w:spacing w:line="360" w:lineRule="auto"/>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专业</w:t>
            </w:r>
          </w:p>
        </w:tc>
        <w:tc>
          <w:tcPr>
            <w:tcW w:w="1373" w:type="dxa"/>
            <w:vAlign w:val="center"/>
          </w:tcPr>
          <w:p w14:paraId="643880F9">
            <w:pPr>
              <w:pStyle w:val="16"/>
              <w:tabs>
                <w:tab w:val="left" w:pos="6300"/>
              </w:tabs>
              <w:snapToGrid w:val="0"/>
              <w:spacing w:line="360" w:lineRule="auto"/>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学历</w:t>
            </w:r>
          </w:p>
        </w:tc>
        <w:tc>
          <w:tcPr>
            <w:tcW w:w="1681" w:type="dxa"/>
            <w:vAlign w:val="center"/>
          </w:tcPr>
          <w:p w14:paraId="70E34138">
            <w:pPr>
              <w:pStyle w:val="16"/>
              <w:tabs>
                <w:tab w:val="left" w:pos="6300"/>
              </w:tabs>
              <w:snapToGrid w:val="0"/>
              <w:spacing w:line="360" w:lineRule="auto"/>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工作年限</w:t>
            </w:r>
          </w:p>
        </w:tc>
      </w:tr>
      <w:tr w14:paraId="482E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3A7FCA35">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069" w:type="dxa"/>
            <w:vAlign w:val="center"/>
          </w:tcPr>
          <w:p w14:paraId="2208C4AB">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069" w:type="dxa"/>
            <w:vAlign w:val="center"/>
          </w:tcPr>
          <w:p w14:paraId="65F370B1">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2140" w:type="dxa"/>
            <w:vAlign w:val="center"/>
          </w:tcPr>
          <w:p w14:paraId="4040037E">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221" w:type="dxa"/>
            <w:vAlign w:val="center"/>
          </w:tcPr>
          <w:p w14:paraId="5A621550">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373" w:type="dxa"/>
          </w:tcPr>
          <w:p w14:paraId="4B897169">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681" w:type="dxa"/>
            <w:vAlign w:val="center"/>
          </w:tcPr>
          <w:p w14:paraId="19E3658D">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r>
      <w:tr w14:paraId="6718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4E4B3F66">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069" w:type="dxa"/>
            <w:vAlign w:val="center"/>
          </w:tcPr>
          <w:p w14:paraId="6F4BDB2F">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069" w:type="dxa"/>
            <w:vAlign w:val="center"/>
          </w:tcPr>
          <w:p w14:paraId="72A70660">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2140" w:type="dxa"/>
            <w:vAlign w:val="center"/>
          </w:tcPr>
          <w:p w14:paraId="06943375">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221" w:type="dxa"/>
            <w:vAlign w:val="center"/>
          </w:tcPr>
          <w:p w14:paraId="77027AB5">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373" w:type="dxa"/>
          </w:tcPr>
          <w:p w14:paraId="743E5A78">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681" w:type="dxa"/>
            <w:vAlign w:val="center"/>
          </w:tcPr>
          <w:p w14:paraId="1A0D47F2">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r>
      <w:tr w14:paraId="14AC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76AF1C56">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069" w:type="dxa"/>
            <w:vAlign w:val="center"/>
          </w:tcPr>
          <w:p w14:paraId="70D97E54">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069" w:type="dxa"/>
            <w:vAlign w:val="center"/>
          </w:tcPr>
          <w:p w14:paraId="7B8E1097">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2140" w:type="dxa"/>
            <w:vAlign w:val="center"/>
          </w:tcPr>
          <w:p w14:paraId="5DAF87C3">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221" w:type="dxa"/>
            <w:vAlign w:val="center"/>
          </w:tcPr>
          <w:p w14:paraId="577BDB57">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373" w:type="dxa"/>
          </w:tcPr>
          <w:p w14:paraId="17E0F729">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681" w:type="dxa"/>
            <w:vAlign w:val="center"/>
          </w:tcPr>
          <w:p w14:paraId="2EB683A0">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r>
      <w:tr w14:paraId="60FC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402A60B0">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069" w:type="dxa"/>
            <w:vAlign w:val="center"/>
          </w:tcPr>
          <w:p w14:paraId="414E5D43">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069" w:type="dxa"/>
            <w:vAlign w:val="center"/>
          </w:tcPr>
          <w:p w14:paraId="124D8B12">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2140" w:type="dxa"/>
            <w:vAlign w:val="center"/>
          </w:tcPr>
          <w:p w14:paraId="198A4B67">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221" w:type="dxa"/>
            <w:vAlign w:val="center"/>
          </w:tcPr>
          <w:p w14:paraId="3EE27454">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373" w:type="dxa"/>
          </w:tcPr>
          <w:p w14:paraId="3756272D">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681" w:type="dxa"/>
            <w:vAlign w:val="center"/>
          </w:tcPr>
          <w:p w14:paraId="501F1DB8">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r>
      <w:tr w14:paraId="3D60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35BD21FB">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069" w:type="dxa"/>
            <w:vAlign w:val="center"/>
          </w:tcPr>
          <w:p w14:paraId="1BD7F87D">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069" w:type="dxa"/>
            <w:vAlign w:val="center"/>
          </w:tcPr>
          <w:p w14:paraId="27792D17">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2140" w:type="dxa"/>
            <w:vAlign w:val="center"/>
          </w:tcPr>
          <w:p w14:paraId="59A41E99">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221" w:type="dxa"/>
            <w:vAlign w:val="center"/>
          </w:tcPr>
          <w:p w14:paraId="3937354D">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373" w:type="dxa"/>
          </w:tcPr>
          <w:p w14:paraId="7CDE9EC2">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681" w:type="dxa"/>
            <w:vAlign w:val="center"/>
          </w:tcPr>
          <w:p w14:paraId="1C252490">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r>
    </w:tbl>
    <w:p w14:paraId="20736F1E">
      <w:pPr>
        <w:pStyle w:val="18"/>
        <w:adjustRightInd w:val="0"/>
        <w:snapToGrid w:val="0"/>
        <w:spacing w:line="360" w:lineRule="auto"/>
        <w:rPr>
          <w:rFonts w:hint="eastAsia" w:ascii="宋体" w:hAnsi="宋体" w:eastAsia="宋体" w:cs="宋体"/>
          <w:b/>
          <w:sz w:val="24"/>
          <w:szCs w:val="21"/>
          <w:highlight w:val="none"/>
        </w:rPr>
      </w:pPr>
    </w:p>
    <w:p w14:paraId="44762F1C">
      <w:pPr>
        <w:adjustRightInd w:val="0"/>
        <w:snapToGrid w:val="0"/>
        <w:spacing w:line="360" w:lineRule="auto"/>
        <w:jc w:val="center"/>
        <w:rPr>
          <w:rFonts w:hint="eastAsia" w:ascii="宋体" w:hAnsi="宋体" w:eastAsia="宋体" w:cs="宋体"/>
          <w:b/>
          <w:spacing w:val="40"/>
          <w:sz w:val="24"/>
          <w:szCs w:val="21"/>
          <w:highlight w:val="none"/>
        </w:rPr>
      </w:pPr>
    </w:p>
    <w:p w14:paraId="13A22485">
      <w:pPr>
        <w:adjustRightInd w:val="0"/>
        <w:snapToGrid w:val="0"/>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比选供应商：</w:t>
      </w:r>
      <w:r>
        <w:rPr>
          <w:rFonts w:hint="eastAsia" w:ascii="宋体" w:hAnsi="宋体" w:eastAsia="宋体" w:cs="宋体"/>
          <w:sz w:val="21"/>
          <w:szCs w:val="21"/>
          <w:highlight w:val="none"/>
          <w:u w:val="single"/>
        </w:rPr>
        <w:t xml:space="preserve">     （公章）        </w:t>
      </w:r>
    </w:p>
    <w:p w14:paraId="5C5AD7F1">
      <w:pPr>
        <w:adjustRightInd w:val="0"/>
        <w:snapToGrid w:val="0"/>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法定代表人或其授权代理人：</w:t>
      </w:r>
      <w:r>
        <w:rPr>
          <w:rFonts w:hint="eastAsia" w:ascii="宋体" w:hAnsi="宋体" w:eastAsia="宋体" w:cs="宋体"/>
          <w:sz w:val="21"/>
          <w:szCs w:val="21"/>
          <w:highlight w:val="none"/>
          <w:u w:val="single"/>
        </w:rPr>
        <w:t xml:space="preserve">       （签字）       </w:t>
      </w:r>
    </w:p>
    <w:p w14:paraId="4B9F499F">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日期：年月日</w:t>
      </w:r>
    </w:p>
    <w:p w14:paraId="4295516F">
      <w:pPr>
        <w:adjustRightInd w:val="0"/>
        <w:snapToGrid w:val="0"/>
        <w:spacing w:line="360" w:lineRule="auto"/>
        <w:rPr>
          <w:rFonts w:hint="eastAsia" w:ascii="宋体" w:hAnsi="宋体" w:eastAsia="宋体" w:cs="宋体"/>
          <w:b/>
          <w:spacing w:val="40"/>
          <w:sz w:val="24"/>
          <w:szCs w:val="21"/>
          <w:highlight w:val="none"/>
        </w:rPr>
      </w:pPr>
    </w:p>
    <w:p w14:paraId="124DBD63">
      <w:pPr>
        <w:adjustRightInd w:val="0"/>
        <w:snapToGrid w:val="0"/>
        <w:spacing w:line="360" w:lineRule="auto"/>
        <w:rPr>
          <w:rFonts w:hint="eastAsia" w:ascii="宋体" w:hAnsi="宋体" w:eastAsia="宋体" w:cs="宋体"/>
          <w:b/>
          <w:spacing w:val="40"/>
          <w:sz w:val="24"/>
          <w:szCs w:val="21"/>
          <w:highlight w:val="none"/>
        </w:rPr>
      </w:pPr>
      <w:r>
        <w:rPr>
          <w:rFonts w:hint="eastAsia" w:ascii="宋体" w:hAnsi="宋体" w:eastAsia="宋体" w:cs="宋体"/>
          <w:b/>
          <w:spacing w:val="40"/>
          <w:sz w:val="24"/>
          <w:szCs w:val="21"/>
          <w:highlight w:val="none"/>
        </w:rPr>
        <w:br w:type="page"/>
      </w:r>
    </w:p>
    <w:p w14:paraId="000D6F85">
      <w:pPr>
        <w:pStyle w:val="3"/>
        <w:rPr>
          <w:rFonts w:hint="eastAsia" w:ascii="宋体" w:hAnsi="宋体" w:eastAsia="宋体" w:cs="宋体"/>
          <w:sz w:val="32"/>
          <w:highlight w:val="none"/>
        </w:rPr>
      </w:pPr>
      <w:bookmarkStart w:id="101" w:name="_Toc30391"/>
      <w:bookmarkStart w:id="102" w:name="_Toc22861"/>
      <w:bookmarkStart w:id="103" w:name="_Toc5317"/>
      <w:r>
        <w:rPr>
          <w:rFonts w:hint="eastAsia" w:ascii="宋体" w:hAnsi="宋体" w:eastAsia="宋体" w:cs="宋体"/>
          <w:sz w:val="32"/>
          <w:highlight w:val="none"/>
        </w:rPr>
        <w:t>六、拟派负责人简历表</w:t>
      </w:r>
      <w:bookmarkEnd w:id="101"/>
      <w:bookmarkEnd w:id="102"/>
      <w:bookmarkEnd w:id="103"/>
    </w:p>
    <w:p w14:paraId="5372CE33">
      <w:pPr>
        <w:adjustRightInd w:val="0"/>
        <w:snapToGrid w:val="0"/>
        <w:spacing w:line="360" w:lineRule="auto"/>
        <w:rPr>
          <w:rFonts w:hint="eastAsia" w:ascii="宋体" w:hAnsi="宋体" w:eastAsia="宋体" w:cs="宋体"/>
          <w:sz w:val="24"/>
          <w:szCs w:val="21"/>
          <w:highlight w:val="none"/>
        </w:rPr>
      </w:pPr>
    </w:p>
    <w:tbl>
      <w:tblPr>
        <w:tblStyle w:val="32"/>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1427"/>
        <w:gridCol w:w="1349"/>
        <w:gridCol w:w="1785"/>
        <w:gridCol w:w="1986"/>
        <w:gridCol w:w="1362"/>
      </w:tblGrid>
      <w:tr w14:paraId="0F57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2" w:type="dxa"/>
            <w:vAlign w:val="center"/>
          </w:tcPr>
          <w:p w14:paraId="1261D06F">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姓  名</w:t>
            </w:r>
          </w:p>
        </w:tc>
        <w:tc>
          <w:tcPr>
            <w:tcW w:w="1427" w:type="dxa"/>
            <w:vAlign w:val="center"/>
          </w:tcPr>
          <w:p w14:paraId="3D69FA34">
            <w:pPr>
              <w:adjustRightInd w:val="0"/>
              <w:snapToGrid w:val="0"/>
              <w:spacing w:line="360" w:lineRule="auto"/>
              <w:jc w:val="center"/>
              <w:rPr>
                <w:rFonts w:hint="eastAsia" w:ascii="宋体" w:hAnsi="宋体" w:eastAsia="宋体" w:cs="宋体"/>
                <w:sz w:val="21"/>
                <w:szCs w:val="21"/>
                <w:highlight w:val="none"/>
              </w:rPr>
            </w:pPr>
          </w:p>
        </w:tc>
        <w:tc>
          <w:tcPr>
            <w:tcW w:w="1349" w:type="dxa"/>
            <w:vAlign w:val="center"/>
          </w:tcPr>
          <w:p w14:paraId="47371F7C">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年  龄</w:t>
            </w:r>
          </w:p>
        </w:tc>
        <w:tc>
          <w:tcPr>
            <w:tcW w:w="1785" w:type="dxa"/>
            <w:vAlign w:val="center"/>
          </w:tcPr>
          <w:p w14:paraId="7A2C116B">
            <w:pPr>
              <w:adjustRightInd w:val="0"/>
              <w:snapToGrid w:val="0"/>
              <w:spacing w:line="360" w:lineRule="auto"/>
              <w:jc w:val="center"/>
              <w:rPr>
                <w:rFonts w:hint="eastAsia" w:ascii="宋体" w:hAnsi="宋体" w:eastAsia="宋体" w:cs="宋体"/>
                <w:sz w:val="21"/>
                <w:szCs w:val="21"/>
                <w:highlight w:val="none"/>
              </w:rPr>
            </w:pPr>
          </w:p>
        </w:tc>
        <w:tc>
          <w:tcPr>
            <w:tcW w:w="1986" w:type="dxa"/>
            <w:vAlign w:val="center"/>
          </w:tcPr>
          <w:p w14:paraId="199E9863">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所从事专业</w:t>
            </w:r>
          </w:p>
        </w:tc>
        <w:tc>
          <w:tcPr>
            <w:tcW w:w="1362" w:type="dxa"/>
            <w:vAlign w:val="center"/>
          </w:tcPr>
          <w:p w14:paraId="39733A4E">
            <w:pPr>
              <w:adjustRightInd w:val="0"/>
              <w:snapToGrid w:val="0"/>
              <w:spacing w:line="360" w:lineRule="auto"/>
              <w:jc w:val="center"/>
              <w:rPr>
                <w:rFonts w:hint="eastAsia" w:ascii="宋体" w:hAnsi="宋体" w:eastAsia="宋体" w:cs="宋体"/>
                <w:sz w:val="21"/>
                <w:szCs w:val="21"/>
                <w:highlight w:val="none"/>
              </w:rPr>
            </w:pPr>
          </w:p>
        </w:tc>
      </w:tr>
      <w:tr w14:paraId="7F22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832" w:type="dxa"/>
            <w:tcBorders>
              <w:bottom w:val="single" w:color="auto" w:sz="4" w:space="0"/>
            </w:tcBorders>
            <w:vAlign w:val="center"/>
          </w:tcPr>
          <w:p w14:paraId="5E1F3A7A">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职   称</w:t>
            </w:r>
          </w:p>
        </w:tc>
        <w:tc>
          <w:tcPr>
            <w:tcW w:w="1427" w:type="dxa"/>
            <w:tcBorders>
              <w:bottom w:val="single" w:color="auto" w:sz="4" w:space="0"/>
            </w:tcBorders>
            <w:vAlign w:val="center"/>
          </w:tcPr>
          <w:p w14:paraId="35653D3C">
            <w:pPr>
              <w:adjustRightInd w:val="0"/>
              <w:snapToGrid w:val="0"/>
              <w:spacing w:line="360" w:lineRule="auto"/>
              <w:jc w:val="center"/>
              <w:rPr>
                <w:rFonts w:hint="eastAsia" w:ascii="宋体" w:hAnsi="宋体" w:eastAsia="宋体" w:cs="宋体"/>
                <w:sz w:val="21"/>
                <w:szCs w:val="21"/>
                <w:highlight w:val="none"/>
              </w:rPr>
            </w:pPr>
          </w:p>
        </w:tc>
        <w:tc>
          <w:tcPr>
            <w:tcW w:w="1349" w:type="dxa"/>
            <w:tcBorders>
              <w:bottom w:val="single" w:color="auto" w:sz="4" w:space="0"/>
            </w:tcBorders>
            <w:vAlign w:val="center"/>
          </w:tcPr>
          <w:p w14:paraId="2A16045A">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职  务</w:t>
            </w:r>
          </w:p>
        </w:tc>
        <w:tc>
          <w:tcPr>
            <w:tcW w:w="5133" w:type="dxa"/>
            <w:gridSpan w:val="3"/>
            <w:tcBorders>
              <w:bottom w:val="single" w:color="auto" w:sz="4" w:space="0"/>
            </w:tcBorders>
            <w:vAlign w:val="center"/>
          </w:tcPr>
          <w:p w14:paraId="7E300E26">
            <w:pPr>
              <w:adjustRightInd w:val="0"/>
              <w:snapToGrid w:val="0"/>
              <w:spacing w:line="360" w:lineRule="auto"/>
              <w:jc w:val="center"/>
              <w:rPr>
                <w:rFonts w:hint="eastAsia" w:ascii="宋体" w:hAnsi="宋体" w:eastAsia="宋体" w:cs="宋体"/>
                <w:sz w:val="21"/>
                <w:szCs w:val="21"/>
                <w:highlight w:val="none"/>
              </w:rPr>
            </w:pPr>
          </w:p>
        </w:tc>
      </w:tr>
      <w:tr w14:paraId="0678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2" w:type="dxa"/>
            <w:tcBorders>
              <w:bottom w:val="single" w:color="auto" w:sz="4" w:space="0"/>
            </w:tcBorders>
            <w:vAlign w:val="center"/>
          </w:tcPr>
          <w:p w14:paraId="476614C5">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本项目中担任工作</w:t>
            </w:r>
          </w:p>
        </w:tc>
        <w:tc>
          <w:tcPr>
            <w:tcW w:w="7909" w:type="dxa"/>
            <w:gridSpan w:val="5"/>
            <w:tcBorders>
              <w:bottom w:val="single" w:color="auto" w:sz="4" w:space="0"/>
            </w:tcBorders>
            <w:vAlign w:val="center"/>
          </w:tcPr>
          <w:p w14:paraId="1C5FE47A">
            <w:pPr>
              <w:adjustRightInd w:val="0"/>
              <w:snapToGrid w:val="0"/>
              <w:spacing w:line="360" w:lineRule="auto"/>
              <w:jc w:val="center"/>
              <w:rPr>
                <w:rFonts w:hint="eastAsia" w:ascii="宋体" w:hAnsi="宋体" w:eastAsia="宋体" w:cs="宋体"/>
                <w:sz w:val="21"/>
                <w:szCs w:val="21"/>
                <w:highlight w:val="none"/>
              </w:rPr>
            </w:pPr>
          </w:p>
        </w:tc>
      </w:tr>
      <w:tr w14:paraId="7255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9741" w:type="dxa"/>
            <w:gridSpan w:val="6"/>
            <w:tcBorders>
              <w:top w:val="single" w:color="auto" w:sz="4" w:space="0"/>
              <w:left w:val="single" w:color="auto" w:sz="4" w:space="0"/>
              <w:bottom w:val="single" w:color="auto" w:sz="4" w:space="0"/>
              <w:right w:val="single" w:color="auto" w:sz="4" w:space="0"/>
            </w:tcBorders>
            <w:vAlign w:val="center"/>
          </w:tcPr>
          <w:p w14:paraId="77B882F3">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经    历</w:t>
            </w:r>
          </w:p>
        </w:tc>
      </w:tr>
      <w:tr w14:paraId="4E50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2" w:type="dxa"/>
            <w:tcBorders>
              <w:top w:val="single" w:color="auto" w:sz="4" w:space="0"/>
            </w:tcBorders>
            <w:vAlign w:val="center"/>
          </w:tcPr>
          <w:p w14:paraId="004BB80B">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自  年  月至   年  月</w:t>
            </w:r>
          </w:p>
        </w:tc>
        <w:tc>
          <w:tcPr>
            <w:tcW w:w="4561" w:type="dxa"/>
            <w:gridSpan w:val="3"/>
            <w:tcBorders>
              <w:top w:val="single" w:color="auto" w:sz="4" w:space="0"/>
            </w:tcBorders>
            <w:vAlign w:val="center"/>
          </w:tcPr>
          <w:p w14:paraId="7335D176">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工作经历</w:t>
            </w:r>
          </w:p>
        </w:tc>
        <w:tc>
          <w:tcPr>
            <w:tcW w:w="1986" w:type="dxa"/>
            <w:tcBorders>
              <w:top w:val="single" w:color="auto" w:sz="4" w:space="0"/>
            </w:tcBorders>
            <w:vAlign w:val="center"/>
          </w:tcPr>
          <w:p w14:paraId="2C6EA464">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担任何职</w:t>
            </w:r>
          </w:p>
        </w:tc>
        <w:tc>
          <w:tcPr>
            <w:tcW w:w="1362" w:type="dxa"/>
            <w:tcBorders>
              <w:top w:val="single" w:color="auto" w:sz="4" w:space="0"/>
            </w:tcBorders>
            <w:vAlign w:val="center"/>
          </w:tcPr>
          <w:p w14:paraId="48681ABC">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14:paraId="0C08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9" w:hRule="atLeast"/>
          <w:jc w:val="center"/>
        </w:trPr>
        <w:tc>
          <w:tcPr>
            <w:tcW w:w="1832" w:type="dxa"/>
            <w:vAlign w:val="center"/>
          </w:tcPr>
          <w:p w14:paraId="31FDA1A2">
            <w:pPr>
              <w:adjustRightInd w:val="0"/>
              <w:snapToGrid w:val="0"/>
              <w:spacing w:line="360" w:lineRule="auto"/>
              <w:jc w:val="center"/>
              <w:rPr>
                <w:rFonts w:hint="eastAsia" w:ascii="宋体" w:hAnsi="宋体" w:eastAsia="宋体" w:cs="宋体"/>
                <w:sz w:val="21"/>
                <w:szCs w:val="21"/>
                <w:highlight w:val="none"/>
              </w:rPr>
            </w:pPr>
          </w:p>
          <w:p w14:paraId="41AA0E70">
            <w:pPr>
              <w:adjustRightInd w:val="0"/>
              <w:snapToGrid w:val="0"/>
              <w:spacing w:line="360" w:lineRule="auto"/>
              <w:jc w:val="center"/>
              <w:rPr>
                <w:rFonts w:hint="eastAsia" w:ascii="宋体" w:hAnsi="宋体" w:eastAsia="宋体" w:cs="宋体"/>
                <w:sz w:val="21"/>
                <w:szCs w:val="21"/>
                <w:highlight w:val="none"/>
              </w:rPr>
            </w:pPr>
          </w:p>
          <w:p w14:paraId="181FD22D">
            <w:pPr>
              <w:adjustRightInd w:val="0"/>
              <w:snapToGrid w:val="0"/>
              <w:spacing w:line="360" w:lineRule="auto"/>
              <w:jc w:val="center"/>
              <w:rPr>
                <w:rFonts w:hint="eastAsia" w:ascii="宋体" w:hAnsi="宋体" w:eastAsia="宋体" w:cs="宋体"/>
                <w:sz w:val="21"/>
                <w:szCs w:val="21"/>
                <w:highlight w:val="none"/>
              </w:rPr>
            </w:pPr>
          </w:p>
          <w:p w14:paraId="3194A0D7">
            <w:pPr>
              <w:adjustRightInd w:val="0"/>
              <w:snapToGrid w:val="0"/>
              <w:spacing w:line="360" w:lineRule="auto"/>
              <w:jc w:val="center"/>
              <w:rPr>
                <w:rFonts w:hint="eastAsia" w:ascii="宋体" w:hAnsi="宋体" w:eastAsia="宋体" w:cs="宋体"/>
                <w:sz w:val="21"/>
                <w:szCs w:val="21"/>
                <w:highlight w:val="none"/>
              </w:rPr>
            </w:pPr>
          </w:p>
          <w:p w14:paraId="0954FCAB">
            <w:pPr>
              <w:adjustRightInd w:val="0"/>
              <w:snapToGrid w:val="0"/>
              <w:spacing w:line="360" w:lineRule="auto"/>
              <w:jc w:val="center"/>
              <w:rPr>
                <w:rFonts w:hint="eastAsia" w:ascii="宋体" w:hAnsi="宋体" w:eastAsia="宋体" w:cs="宋体"/>
                <w:sz w:val="21"/>
                <w:szCs w:val="21"/>
                <w:highlight w:val="none"/>
              </w:rPr>
            </w:pPr>
          </w:p>
          <w:p w14:paraId="321DFDAF">
            <w:pPr>
              <w:adjustRightInd w:val="0"/>
              <w:snapToGrid w:val="0"/>
              <w:spacing w:line="360" w:lineRule="auto"/>
              <w:jc w:val="center"/>
              <w:rPr>
                <w:rFonts w:hint="eastAsia" w:ascii="宋体" w:hAnsi="宋体" w:eastAsia="宋体" w:cs="宋体"/>
                <w:sz w:val="21"/>
                <w:szCs w:val="21"/>
                <w:highlight w:val="none"/>
              </w:rPr>
            </w:pPr>
          </w:p>
          <w:p w14:paraId="50938CFA">
            <w:pPr>
              <w:adjustRightInd w:val="0"/>
              <w:snapToGrid w:val="0"/>
              <w:spacing w:line="360" w:lineRule="auto"/>
              <w:rPr>
                <w:rFonts w:hint="eastAsia" w:ascii="宋体" w:hAnsi="宋体" w:eastAsia="宋体" w:cs="宋体"/>
                <w:sz w:val="21"/>
                <w:szCs w:val="21"/>
                <w:highlight w:val="none"/>
              </w:rPr>
            </w:pPr>
          </w:p>
          <w:p w14:paraId="75C1F4BF">
            <w:pPr>
              <w:adjustRightInd w:val="0"/>
              <w:snapToGrid w:val="0"/>
              <w:spacing w:line="360" w:lineRule="auto"/>
              <w:jc w:val="center"/>
              <w:rPr>
                <w:rFonts w:hint="eastAsia" w:ascii="宋体" w:hAnsi="宋体" w:eastAsia="宋体" w:cs="宋体"/>
                <w:sz w:val="21"/>
                <w:szCs w:val="21"/>
                <w:highlight w:val="none"/>
              </w:rPr>
            </w:pPr>
          </w:p>
        </w:tc>
        <w:tc>
          <w:tcPr>
            <w:tcW w:w="4561" w:type="dxa"/>
            <w:gridSpan w:val="3"/>
            <w:vAlign w:val="center"/>
          </w:tcPr>
          <w:p w14:paraId="09AE197E">
            <w:pPr>
              <w:adjustRightInd w:val="0"/>
              <w:snapToGrid w:val="0"/>
              <w:spacing w:line="360" w:lineRule="auto"/>
              <w:jc w:val="center"/>
              <w:rPr>
                <w:rFonts w:hint="eastAsia" w:ascii="宋体" w:hAnsi="宋体" w:eastAsia="宋体" w:cs="宋体"/>
                <w:sz w:val="21"/>
                <w:szCs w:val="21"/>
                <w:highlight w:val="none"/>
              </w:rPr>
            </w:pPr>
          </w:p>
        </w:tc>
        <w:tc>
          <w:tcPr>
            <w:tcW w:w="1986" w:type="dxa"/>
            <w:vAlign w:val="center"/>
          </w:tcPr>
          <w:p w14:paraId="74E54ABC">
            <w:pPr>
              <w:adjustRightInd w:val="0"/>
              <w:snapToGrid w:val="0"/>
              <w:spacing w:line="360" w:lineRule="auto"/>
              <w:jc w:val="center"/>
              <w:rPr>
                <w:rFonts w:hint="eastAsia" w:ascii="宋体" w:hAnsi="宋体" w:eastAsia="宋体" w:cs="宋体"/>
                <w:sz w:val="21"/>
                <w:szCs w:val="21"/>
                <w:highlight w:val="none"/>
              </w:rPr>
            </w:pPr>
          </w:p>
        </w:tc>
        <w:tc>
          <w:tcPr>
            <w:tcW w:w="1362" w:type="dxa"/>
            <w:vAlign w:val="center"/>
          </w:tcPr>
          <w:p w14:paraId="3E385B61">
            <w:pPr>
              <w:adjustRightInd w:val="0"/>
              <w:snapToGrid w:val="0"/>
              <w:spacing w:line="360" w:lineRule="auto"/>
              <w:jc w:val="center"/>
              <w:rPr>
                <w:rFonts w:hint="eastAsia" w:ascii="宋体" w:hAnsi="宋体" w:eastAsia="宋体" w:cs="宋体"/>
                <w:sz w:val="21"/>
                <w:szCs w:val="21"/>
                <w:highlight w:val="none"/>
              </w:rPr>
            </w:pPr>
          </w:p>
        </w:tc>
      </w:tr>
    </w:tbl>
    <w:p w14:paraId="79E1CE3B">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p w14:paraId="5E5F4036">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实际负责该服务项目的负责人（需填写此表，每人填一张并附相应证明材料，包括身份证、职称证书、工作业绩方面证明等资料的复印件）</w:t>
      </w:r>
    </w:p>
    <w:p w14:paraId="334A9FE1">
      <w:pPr>
        <w:adjustRightInd w:val="0"/>
        <w:snapToGrid w:val="0"/>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比选供应商：</w:t>
      </w:r>
      <w:r>
        <w:rPr>
          <w:rFonts w:hint="eastAsia" w:ascii="宋体" w:hAnsi="宋体" w:eastAsia="宋体" w:cs="宋体"/>
          <w:sz w:val="21"/>
          <w:szCs w:val="21"/>
          <w:highlight w:val="none"/>
          <w:u w:val="single"/>
        </w:rPr>
        <w:t xml:space="preserve">     （公章）        </w:t>
      </w:r>
    </w:p>
    <w:p w14:paraId="26967A64">
      <w:pPr>
        <w:adjustRightInd w:val="0"/>
        <w:snapToGrid w:val="0"/>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法定代表人或其授权代理人：</w:t>
      </w:r>
      <w:r>
        <w:rPr>
          <w:rFonts w:hint="eastAsia" w:ascii="宋体" w:hAnsi="宋体" w:eastAsia="宋体" w:cs="宋体"/>
          <w:sz w:val="21"/>
          <w:szCs w:val="21"/>
          <w:highlight w:val="none"/>
          <w:u w:val="single"/>
        </w:rPr>
        <w:t xml:space="preserve">       （签字）       </w:t>
      </w:r>
    </w:p>
    <w:p w14:paraId="599C1402">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日</w:t>
      </w:r>
    </w:p>
    <w:p w14:paraId="22EBDD16">
      <w:pPr>
        <w:adjustRightInd w:val="0"/>
        <w:snapToGrid w:val="0"/>
        <w:spacing w:line="360" w:lineRule="auto"/>
        <w:rPr>
          <w:rFonts w:hint="eastAsia" w:ascii="宋体" w:hAnsi="宋体" w:eastAsia="宋体" w:cs="宋体"/>
          <w:sz w:val="24"/>
          <w:szCs w:val="21"/>
          <w:highlight w:val="none"/>
        </w:rPr>
      </w:pPr>
      <w:r>
        <w:rPr>
          <w:rFonts w:hint="eastAsia" w:ascii="宋体" w:hAnsi="宋体" w:eastAsia="宋体" w:cs="宋体"/>
          <w:sz w:val="24"/>
          <w:szCs w:val="21"/>
          <w:highlight w:val="none"/>
        </w:rPr>
        <w:br w:type="page"/>
      </w:r>
    </w:p>
    <w:p w14:paraId="098D165B">
      <w:pPr>
        <w:pStyle w:val="3"/>
        <w:numPr>
          <w:ilvl w:val="0"/>
          <w:numId w:val="15"/>
        </w:numPr>
        <w:rPr>
          <w:rFonts w:hint="eastAsia" w:ascii="宋体" w:hAnsi="宋体" w:eastAsia="宋体" w:cs="宋体"/>
          <w:sz w:val="32"/>
          <w:highlight w:val="none"/>
        </w:rPr>
      </w:pPr>
      <w:bookmarkStart w:id="104" w:name="_Toc3616"/>
      <w:bookmarkStart w:id="105" w:name="_Toc11351"/>
      <w:bookmarkStart w:id="106" w:name="_Toc17529"/>
      <w:r>
        <w:rPr>
          <w:rFonts w:hint="eastAsia" w:ascii="宋体" w:hAnsi="宋体" w:eastAsia="宋体" w:cs="宋体"/>
          <w:sz w:val="32"/>
          <w:highlight w:val="none"/>
        </w:rPr>
        <w:t>针对该项目派遣的参与人员情况汇总表</w:t>
      </w:r>
      <w:bookmarkEnd w:id="104"/>
      <w:bookmarkEnd w:id="105"/>
      <w:bookmarkEnd w:id="106"/>
    </w:p>
    <w:p w14:paraId="37E9DA3F">
      <w:pPr>
        <w:numPr>
          <w:ilvl w:val="0"/>
          <w:numId w:val="0"/>
        </w:numPr>
        <w:rPr>
          <w:rFonts w:hint="eastAsia" w:ascii="宋体" w:hAnsi="宋体" w:eastAsia="宋体" w:cs="宋体"/>
          <w:highlight w:val="none"/>
        </w:rPr>
      </w:pPr>
    </w:p>
    <w:tbl>
      <w:tblPr>
        <w:tblStyle w:val="32"/>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1924"/>
        <w:gridCol w:w="1442"/>
        <w:gridCol w:w="1604"/>
        <w:gridCol w:w="2084"/>
        <w:gridCol w:w="801"/>
      </w:tblGrid>
      <w:tr w14:paraId="362E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6" w:type="dxa"/>
            <w:vAlign w:val="center"/>
          </w:tcPr>
          <w:p w14:paraId="79884F99">
            <w:pPr>
              <w:pStyle w:val="16"/>
              <w:tabs>
                <w:tab w:val="left" w:pos="6300"/>
              </w:tabs>
              <w:snapToGrid w:val="0"/>
              <w:spacing w:line="360" w:lineRule="auto"/>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姓名</w:t>
            </w:r>
          </w:p>
        </w:tc>
        <w:tc>
          <w:tcPr>
            <w:tcW w:w="1924" w:type="dxa"/>
            <w:vAlign w:val="center"/>
          </w:tcPr>
          <w:p w14:paraId="34865874">
            <w:pPr>
              <w:pStyle w:val="16"/>
              <w:tabs>
                <w:tab w:val="left" w:pos="6300"/>
              </w:tabs>
              <w:snapToGrid w:val="0"/>
              <w:spacing w:line="360" w:lineRule="auto"/>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身份证号</w:t>
            </w:r>
          </w:p>
        </w:tc>
        <w:tc>
          <w:tcPr>
            <w:tcW w:w="1442" w:type="dxa"/>
            <w:vAlign w:val="center"/>
          </w:tcPr>
          <w:p w14:paraId="6ADF23C4">
            <w:pPr>
              <w:pStyle w:val="16"/>
              <w:tabs>
                <w:tab w:val="left" w:pos="6300"/>
              </w:tabs>
              <w:snapToGrid w:val="0"/>
              <w:spacing w:line="360" w:lineRule="auto"/>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年龄</w:t>
            </w:r>
          </w:p>
        </w:tc>
        <w:tc>
          <w:tcPr>
            <w:tcW w:w="1604" w:type="dxa"/>
            <w:vAlign w:val="center"/>
          </w:tcPr>
          <w:p w14:paraId="230CAE22">
            <w:pPr>
              <w:pStyle w:val="16"/>
              <w:tabs>
                <w:tab w:val="left" w:pos="6300"/>
              </w:tabs>
              <w:snapToGrid w:val="0"/>
              <w:spacing w:line="360" w:lineRule="auto"/>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学历</w:t>
            </w:r>
          </w:p>
        </w:tc>
        <w:tc>
          <w:tcPr>
            <w:tcW w:w="2084" w:type="dxa"/>
            <w:vAlign w:val="center"/>
          </w:tcPr>
          <w:p w14:paraId="2CA88362">
            <w:pPr>
              <w:pStyle w:val="16"/>
              <w:tabs>
                <w:tab w:val="left" w:pos="6300"/>
              </w:tabs>
              <w:snapToGrid w:val="0"/>
              <w:spacing w:line="360" w:lineRule="auto"/>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工作年限</w:t>
            </w:r>
          </w:p>
        </w:tc>
        <w:tc>
          <w:tcPr>
            <w:tcW w:w="801" w:type="dxa"/>
          </w:tcPr>
          <w:p w14:paraId="11CEC9D9">
            <w:pPr>
              <w:pStyle w:val="16"/>
              <w:tabs>
                <w:tab w:val="left" w:pos="6300"/>
              </w:tabs>
              <w:snapToGrid w:val="0"/>
              <w:spacing w:line="360" w:lineRule="auto"/>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14:paraId="44DE3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6" w:type="dxa"/>
            <w:vAlign w:val="center"/>
          </w:tcPr>
          <w:p w14:paraId="6C41270D">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924" w:type="dxa"/>
            <w:vAlign w:val="center"/>
          </w:tcPr>
          <w:p w14:paraId="1FA17966">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442" w:type="dxa"/>
            <w:vAlign w:val="center"/>
          </w:tcPr>
          <w:p w14:paraId="72FA162A">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604" w:type="dxa"/>
            <w:vAlign w:val="center"/>
          </w:tcPr>
          <w:p w14:paraId="79B365BB">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2084" w:type="dxa"/>
            <w:vAlign w:val="center"/>
          </w:tcPr>
          <w:p w14:paraId="2D90FBFA">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801" w:type="dxa"/>
          </w:tcPr>
          <w:p w14:paraId="4E6E9D8D">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r>
      <w:tr w14:paraId="6BD3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6" w:type="dxa"/>
            <w:vAlign w:val="center"/>
          </w:tcPr>
          <w:p w14:paraId="77CA5677">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924" w:type="dxa"/>
            <w:vAlign w:val="center"/>
          </w:tcPr>
          <w:p w14:paraId="654423CF">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442" w:type="dxa"/>
            <w:vAlign w:val="center"/>
          </w:tcPr>
          <w:p w14:paraId="7D2DB3B9">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604" w:type="dxa"/>
            <w:vAlign w:val="center"/>
          </w:tcPr>
          <w:p w14:paraId="6CDAA91D">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2084" w:type="dxa"/>
            <w:vAlign w:val="center"/>
          </w:tcPr>
          <w:p w14:paraId="06B72D10">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801" w:type="dxa"/>
          </w:tcPr>
          <w:p w14:paraId="44BA5561">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r>
      <w:tr w14:paraId="7808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6" w:type="dxa"/>
            <w:vAlign w:val="center"/>
          </w:tcPr>
          <w:p w14:paraId="75FC14B0">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924" w:type="dxa"/>
            <w:vAlign w:val="center"/>
          </w:tcPr>
          <w:p w14:paraId="7B271FC5">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442" w:type="dxa"/>
            <w:vAlign w:val="center"/>
          </w:tcPr>
          <w:p w14:paraId="1013CCC7">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604" w:type="dxa"/>
            <w:vAlign w:val="center"/>
          </w:tcPr>
          <w:p w14:paraId="03467C88">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2084" w:type="dxa"/>
            <w:vAlign w:val="center"/>
          </w:tcPr>
          <w:p w14:paraId="189D1F88">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801" w:type="dxa"/>
          </w:tcPr>
          <w:p w14:paraId="64EADF40">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r>
      <w:tr w14:paraId="20CD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6" w:type="dxa"/>
            <w:vAlign w:val="center"/>
          </w:tcPr>
          <w:p w14:paraId="6C4BBEFF">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924" w:type="dxa"/>
            <w:vAlign w:val="center"/>
          </w:tcPr>
          <w:p w14:paraId="1714C70E">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442" w:type="dxa"/>
            <w:vAlign w:val="center"/>
          </w:tcPr>
          <w:p w14:paraId="7F5C6A94">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604" w:type="dxa"/>
            <w:vAlign w:val="center"/>
          </w:tcPr>
          <w:p w14:paraId="4FABA5CF">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2084" w:type="dxa"/>
            <w:vAlign w:val="center"/>
          </w:tcPr>
          <w:p w14:paraId="59282A3C">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801" w:type="dxa"/>
          </w:tcPr>
          <w:p w14:paraId="53BCCBAA">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r>
      <w:tr w14:paraId="7D31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6" w:type="dxa"/>
            <w:vAlign w:val="center"/>
          </w:tcPr>
          <w:p w14:paraId="1247C8A7">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924" w:type="dxa"/>
            <w:vAlign w:val="center"/>
          </w:tcPr>
          <w:p w14:paraId="718EE9EB">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442" w:type="dxa"/>
            <w:vAlign w:val="center"/>
          </w:tcPr>
          <w:p w14:paraId="32A7BFD9">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604" w:type="dxa"/>
            <w:vAlign w:val="center"/>
          </w:tcPr>
          <w:p w14:paraId="75FCB72B">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2084" w:type="dxa"/>
            <w:vAlign w:val="center"/>
          </w:tcPr>
          <w:p w14:paraId="6E875ABA">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801" w:type="dxa"/>
          </w:tcPr>
          <w:p w14:paraId="6761D94C">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r>
      <w:tr w14:paraId="5E0D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6" w:type="dxa"/>
            <w:vAlign w:val="center"/>
          </w:tcPr>
          <w:p w14:paraId="7C430333">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924" w:type="dxa"/>
            <w:vAlign w:val="center"/>
          </w:tcPr>
          <w:p w14:paraId="36349A66">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442" w:type="dxa"/>
            <w:vAlign w:val="center"/>
          </w:tcPr>
          <w:p w14:paraId="04A24E9A">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604" w:type="dxa"/>
            <w:vAlign w:val="center"/>
          </w:tcPr>
          <w:p w14:paraId="17B2F3C9">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2084" w:type="dxa"/>
            <w:vAlign w:val="center"/>
          </w:tcPr>
          <w:p w14:paraId="149011AF">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801" w:type="dxa"/>
          </w:tcPr>
          <w:p w14:paraId="68A6359C">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r>
      <w:tr w14:paraId="0CFD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6" w:type="dxa"/>
            <w:vAlign w:val="center"/>
          </w:tcPr>
          <w:p w14:paraId="32088F5E">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924" w:type="dxa"/>
            <w:vAlign w:val="center"/>
          </w:tcPr>
          <w:p w14:paraId="5FD7F167">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442" w:type="dxa"/>
            <w:vAlign w:val="center"/>
          </w:tcPr>
          <w:p w14:paraId="3D35C943">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604" w:type="dxa"/>
            <w:vAlign w:val="center"/>
          </w:tcPr>
          <w:p w14:paraId="2AC482E3">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2084" w:type="dxa"/>
            <w:vAlign w:val="center"/>
          </w:tcPr>
          <w:p w14:paraId="6BCA8FCB">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801" w:type="dxa"/>
          </w:tcPr>
          <w:p w14:paraId="02D14303">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r>
      <w:tr w14:paraId="72D6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6" w:type="dxa"/>
            <w:vAlign w:val="center"/>
          </w:tcPr>
          <w:p w14:paraId="4B48752C">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924" w:type="dxa"/>
            <w:vAlign w:val="center"/>
          </w:tcPr>
          <w:p w14:paraId="344E5910">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442" w:type="dxa"/>
            <w:vAlign w:val="center"/>
          </w:tcPr>
          <w:p w14:paraId="6F9D6F16">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604" w:type="dxa"/>
            <w:vAlign w:val="center"/>
          </w:tcPr>
          <w:p w14:paraId="43535287">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2084" w:type="dxa"/>
            <w:vAlign w:val="center"/>
          </w:tcPr>
          <w:p w14:paraId="7966CB08">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801" w:type="dxa"/>
          </w:tcPr>
          <w:p w14:paraId="2B7CBFC3">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r>
      <w:tr w14:paraId="30F1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6" w:type="dxa"/>
            <w:vAlign w:val="center"/>
          </w:tcPr>
          <w:p w14:paraId="0E34CBA8">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924" w:type="dxa"/>
            <w:vAlign w:val="center"/>
          </w:tcPr>
          <w:p w14:paraId="23683072">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442" w:type="dxa"/>
            <w:vAlign w:val="center"/>
          </w:tcPr>
          <w:p w14:paraId="3399FEAF">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604" w:type="dxa"/>
            <w:vAlign w:val="center"/>
          </w:tcPr>
          <w:p w14:paraId="45FB06F4">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2084" w:type="dxa"/>
            <w:vAlign w:val="center"/>
          </w:tcPr>
          <w:p w14:paraId="433FEED1">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801" w:type="dxa"/>
          </w:tcPr>
          <w:p w14:paraId="168A1CB2">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r>
      <w:tr w14:paraId="7683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6" w:type="dxa"/>
            <w:vAlign w:val="center"/>
          </w:tcPr>
          <w:p w14:paraId="7C11E869">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924" w:type="dxa"/>
            <w:vAlign w:val="center"/>
          </w:tcPr>
          <w:p w14:paraId="277D3998">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442" w:type="dxa"/>
            <w:vAlign w:val="center"/>
          </w:tcPr>
          <w:p w14:paraId="6FDFC046">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604" w:type="dxa"/>
            <w:vAlign w:val="center"/>
          </w:tcPr>
          <w:p w14:paraId="22DCD814">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2084" w:type="dxa"/>
            <w:vAlign w:val="center"/>
          </w:tcPr>
          <w:p w14:paraId="1E1074C4">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801" w:type="dxa"/>
          </w:tcPr>
          <w:p w14:paraId="69C97E71">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r>
      <w:tr w14:paraId="2AE8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6" w:type="dxa"/>
            <w:vAlign w:val="center"/>
          </w:tcPr>
          <w:p w14:paraId="213F691C">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924" w:type="dxa"/>
            <w:vAlign w:val="center"/>
          </w:tcPr>
          <w:p w14:paraId="4EB440BE">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442" w:type="dxa"/>
            <w:vAlign w:val="center"/>
          </w:tcPr>
          <w:p w14:paraId="16A86127">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604" w:type="dxa"/>
            <w:vAlign w:val="center"/>
          </w:tcPr>
          <w:p w14:paraId="6567FFBC">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2084" w:type="dxa"/>
            <w:vAlign w:val="center"/>
          </w:tcPr>
          <w:p w14:paraId="40F969A6">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801" w:type="dxa"/>
          </w:tcPr>
          <w:p w14:paraId="0BF89326">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r>
      <w:tr w14:paraId="4110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6" w:type="dxa"/>
            <w:vAlign w:val="center"/>
          </w:tcPr>
          <w:p w14:paraId="411B1E74">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924" w:type="dxa"/>
            <w:vAlign w:val="center"/>
          </w:tcPr>
          <w:p w14:paraId="1663FD09">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442" w:type="dxa"/>
            <w:vAlign w:val="center"/>
          </w:tcPr>
          <w:p w14:paraId="69EE96A5">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604" w:type="dxa"/>
            <w:vAlign w:val="center"/>
          </w:tcPr>
          <w:p w14:paraId="3FA15AB3">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2084" w:type="dxa"/>
            <w:vAlign w:val="center"/>
          </w:tcPr>
          <w:p w14:paraId="65E6E0B3">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801" w:type="dxa"/>
          </w:tcPr>
          <w:p w14:paraId="65E51849">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r>
      <w:tr w14:paraId="6A6C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6" w:type="dxa"/>
            <w:vAlign w:val="center"/>
          </w:tcPr>
          <w:p w14:paraId="691D8CB5">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924" w:type="dxa"/>
            <w:vAlign w:val="center"/>
          </w:tcPr>
          <w:p w14:paraId="6CFFEC61">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442" w:type="dxa"/>
            <w:vAlign w:val="center"/>
          </w:tcPr>
          <w:p w14:paraId="433F45D9">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604" w:type="dxa"/>
            <w:vAlign w:val="center"/>
          </w:tcPr>
          <w:p w14:paraId="30E01F35">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2084" w:type="dxa"/>
            <w:vAlign w:val="center"/>
          </w:tcPr>
          <w:p w14:paraId="0B535D7C">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801" w:type="dxa"/>
          </w:tcPr>
          <w:p w14:paraId="1C79C698">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r>
      <w:tr w14:paraId="0930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6" w:type="dxa"/>
            <w:vAlign w:val="center"/>
          </w:tcPr>
          <w:p w14:paraId="4BA8B8D7">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924" w:type="dxa"/>
            <w:vAlign w:val="center"/>
          </w:tcPr>
          <w:p w14:paraId="3FFCC484">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442" w:type="dxa"/>
            <w:vAlign w:val="center"/>
          </w:tcPr>
          <w:p w14:paraId="3065029E">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604" w:type="dxa"/>
            <w:vAlign w:val="center"/>
          </w:tcPr>
          <w:p w14:paraId="3F80CA01">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2084" w:type="dxa"/>
            <w:vAlign w:val="center"/>
          </w:tcPr>
          <w:p w14:paraId="71227EC6">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801" w:type="dxa"/>
          </w:tcPr>
          <w:p w14:paraId="0D834360">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r>
      <w:tr w14:paraId="1E72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6" w:type="dxa"/>
            <w:vAlign w:val="center"/>
          </w:tcPr>
          <w:p w14:paraId="15C4701D">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924" w:type="dxa"/>
            <w:vAlign w:val="center"/>
          </w:tcPr>
          <w:p w14:paraId="085A2887">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442" w:type="dxa"/>
            <w:vAlign w:val="center"/>
          </w:tcPr>
          <w:p w14:paraId="3E7D9D17">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1604" w:type="dxa"/>
            <w:vAlign w:val="center"/>
          </w:tcPr>
          <w:p w14:paraId="3328A4F7">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2084" w:type="dxa"/>
            <w:vAlign w:val="center"/>
          </w:tcPr>
          <w:p w14:paraId="6A12B06A">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c>
          <w:tcPr>
            <w:tcW w:w="801" w:type="dxa"/>
          </w:tcPr>
          <w:p w14:paraId="24A57A89">
            <w:pPr>
              <w:pStyle w:val="16"/>
              <w:tabs>
                <w:tab w:val="left" w:pos="6300"/>
              </w:tabs>
              <w:snapToGrid w:val="0"/>
              <w:spacing w:line="360" w:lineRule="auto"/>
              <w:ind w:firstLine="0"/>
              <w:jc w:val="center"/>
              <w:rPr>
                <w:rFonts w:hint="eastAsia" w:ascii="宋体" w:hAnsi="宋体" w:eastAsia="宋体" w:cs="宋体"/>
                <w:sz w:val="21"/>
                <w:szCs w:val="21"/>
                <w:highlight w:val="none"/>
              </w:rPr>
            </w:pPr>
          </w:p>
        </w:tc>
      </w:tr>
    </w:tbl>
    <w:p w14:paraId="5AA3BBDB">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p w14:paraId="3BCD6C2E">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根据针对该项目派遣的所有人员的实际情况填写该表，并附相关证明材料（包括身份证、职称证书等资料的复印件并加盖公章）；</w:t>
      </w:r>
    </w:p>
    <w:p w14:paraId="7733DC6F">
      <w:pPr>
        <w:adjustRightInd w:val="0"/>
        <w:snapToGrid w:val="0"/>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比选供应商：</w:t>
      </w:r>
      <w:r>
        <w:rPr>
          <w:rFonts w:hint="eastAsia" w:ascii="宋体" w:hAnsi="宋体" w:eastAsia="宋体" w:cs="宋体"/>
          <w:sz w:val="21"/>
          <w:szCs w:val="21"/>
          <w:highlight w:val="none"/>
          <w:u w:val="single"/>
        </w:rPr>
        <w:t xml:space="preserve">     （公章）        </w:t>
      </w:r>
    </w:p>
    <w:p w14:paraId="3CB08806">
      <w:pPr>
        <w:adjustRightInd w:val="0"/>
        <w:snapToGrid w:val="0"/>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法定代表人或其授权代理人：</w:t>
      </w:r>
      <w:r>
        <w:rPr>
          <w:rFonts w:hint="eastAsia" w:ascii="宋体" w:hAnsi="宋体" w:eastAsia="宋体" w:cs="宋体"/>
          <w:sz w:val="21"/>
          <w:szCs w:val="21"/>
          <w:highlight w:val="none"/>
          <w:u w:val="single"/>
        </w:rPr>
        <w:t xml:space="preserve">       （签字）       </w:t>
      </w:r>
    </w:p>
    <w:p w14:paraId="37C0A535">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日期：年月日</w:t>
      </w:r>
    </w:p>
    <w:p w14:paraId="55E12FCA">
      <w:pPr>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31F64EF7">
      <w:pPr>
        <w:pStyle w:val="58"/>
        <w:numPr>
          <w:ilvl w:val="255"/>
          <w:numId w:val="0"/>
        </w:numPr>
        <w:spacing w:line="360" w:lineRule="auto"/>
        <w:jc w:val="center"/>
        <w:outlineLvl w:val="1"/>
        <w:rPr>
          <w:rFonts w:hint="eastAsia" w:ascii="宋体" w:hAnsi="宋体" w:eastAsia="宋体" w:cs="宋体"/>
          <w:b/>
          <w:sz w:val="24"/>
          <w:highlight w:val="none"/>
        </w:rPr>
      </w:pPr>
      <w:bookmarkStart w:id="107" w:name="_Toc8154"/>
      <w:bookmarkStart w:id="108" w:name="_Toc20574"/>
      <w:bookmarkStart w:id="109" w:name="_Toc25232"/>
      <w:r>
        <w:rPr>
          <w:rFonts w:hint="eastAsia" w:ascii="宋体" w:hAnsi="宋体" w:eastAsia="宋体" w:cs="宋体"/>
          <w:b/>
          <w:bCs/>
          <w:sz w:val="32"/>
          <w:szCs w:val="32"/>
          <w:highlight w:val="none"/>
        </w:rPr>
        <w:t>八</w:t>
      </w:r>
      <w:r>
        <w:rPr>
          <w:rFonts w:hint="eastAsia" w:ascii="宋体" w:hAnsi="宋体" w:eastAsia="宋体" w:cs="宋体"/>
          <w:b/>
          <w:sz w:val="24"/>
          <w:highlight w:val="none"/>
        </w:rPr>
        <w:t>、供应商服务业绩一览表</w:t>
      </w:r>
      <w:bookmarkEnd w:id="107"/>
      <w:bookmarkEnd w:id="108"/>
      <w:bookmarkEnd w:id="109"/>
    </w:p>
    <w:p w14:paraId="00E46AF2">
      <w:pPr>
        <w:jc w:val="center"/>
        <w:rPr>
          <w:rFonts w:hint="eastAsia" w:ascii="宋体" w:hAnsi="宋体" w:eastAsia="宋体" w:cs="宋体"/>
          <w:b/>
          <w:i/>
          <w:iCs/>
          <w:sz w:val="24"/>
          <w:highlight w:val="none"/>
        </w:rPr>
      </w:pPr>
    </w:p>
    <w:tbl>
      <w:tblPr>
        <w:tblStyle w:val="32"/>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40"/>
        <w:gridCol w:w="1954"/>
        <w:gridCol w:w="2741"/>
        <w:gridCol w:w="2314"/>
        <w:gridCol w:w="1288"/>
      </w:tblGrid>
      <w:tr w14:paraId="7C6B6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739" w:type="pct"/>
            <w:vAlign w:val="center"/>
          </w:tcPr>
          <w:p w14:paraId="54DCA40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年份</w:t>
            </w:r>
          </w:p>
        </w:tc>
        <w:tc>
          <w:tcPr>
            <w:tcW w:w="1003" w:type="pct"/>
            <w:vAlign w:val="center"/>
          </w:tcPr>
          <w:p w14:paraId="23D50ED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服务名称</w:t>
            </w:r>
          </w:p>
        </w:tc>
        <w:tc>
          <w:tcPr>
            <w:tcW w:w="1407" w:type="pct"/>
            <w:vAlign w:val="center"/>
          </w:tcPr>
          <w:p w14:paraId="10801E5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服务内容</w:t>
            </w:r>
          </w:p>
        </w:tc>
        <w:tc>
          <w:tcPr>
            <w:tcW w:w="1188" w:type="pct"/>
            <w:vAlign w:val="center"/>
          </w:tcPr>
          <w:p w14:paraId="2D53187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使用单位名称</w:t>
            </w:r>
          </w:p>
        </w:tc>
        <w:tc>
          <w:tcPr>
            <w:tcW w:w="661" w:type="pct"/>
            <w:vAlign w:val="center"/>
          </w:tcPr>
          <w:p w14:paraId="745DA81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14:paraId="014220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739" w:type="pct"/>
            <w:vAlign w:val="center"/>
          </w:tcPr>
          <w:p w14:paraId="793BF5E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  年</w:t>
            </w:r>
          </w:p>
        </w:tc>
        <w:tc>
          <w:tcPr>
            <w:tcW w:w="1003" w:type="pct"/>
            <w:vAlign w:val="center"/>
          </w:tcPr>
          <w:p w14:paraId="6B1D54B8">
            <w:pPr>
              <w:jc w:val="center"/>
              <w:rPr>
                <w:rFonts w:hint="eastAsia" w:ascii="宋体" w:hAnsi="宋体" w:eastAsia="宋体" w:cs="宋体"/>
                <w:sz w:val="21"/>
                <w:szCs w:val="21"/>
                <w:highlight w:val="none"/>
              </w:rPr>
            </w:pPr>
          </w:p>
        </w:tc>
        <w:tc>
          <w:tcPr>
            <w:tcW w:w="1407" w:type="pct"/>
            <w:vAlign w:val="center"/>
          </w:tcPr>
          <w:p w14:paraId="7239739F">
            <w:pPr>
              <w:jc w:val="center"/>
              <w:rPr>
                <w:rFonts w:hint="eastAsia" w:ascii="宋体" w:hAnsi="宋体" w:eastAsia="宋体" w:cs="宋体"/>
                <w:sz w:val="21"/>
                <w:szCs w:val="21"/>
                <w:highlight w:val="none"/>
              </w:rPr>
            </w:pPr>
          </w:p>
        </w:tc>
        <w:tc>
          <w:tcPr>
            <w:tcW w:w="1188" w:type="pct"/>
            <w:vAlign w:val="center"/>
          </w:tcPr>
          <w:p w14:paraId="76328EFF">
            <w:pPr>
              <w:jc w:val="center"/>
              <w:rPr>
                <w:rFonts w:hint="eastAsia" w:ascii="宋体" w:hAnsi="宋体" w:eastAsia="宋体" w:cs="宋体"/>
                <w:sz w:val="21"/>
                <w:szCs w:val="21"/>
                <w:highlight w:val="none"/>
              </w:rPr>
            </w:pPr>
          </w:p>
        </w:tc>
        <w:tc>
          <w:tcPr>
            <w:tcW w:w="661" w:type="pct"/>
            <w:vAlign w:val="center"/>
          </w:tcPr>
          <w:p w14:paraId="6A4D326A">
            <w:pPr>
              <w:jc w:val="center"/>
              <w:rPr>
                <w:rFonts w:hint="eastAsia" w:ascii="宋体" w:hAnsi="宋体" w:eastAsia="宋体" w:cs="宋体"/>
                <w:sz w:val="21"/>
                <w:szCs w:val="21"/>
                <w:highlight w:val="none"/>
              </w:rPr>
            </w:pPr>
          </w:p>
        </w:tc>
      </w:tr>
      <w:tr w14:paraId="2A9C1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739" w:type="pct"/>
            <w:vAlign w:val="center"/>
          </w:tcPr>
          <w:p w14:paraId="10A408AC">
            <w:pPr>
              <w:jc w:val="center"/>
              <w:rPr>
                <w:rFonts w:hint="eastAsia" w:ascii="宋体" w:hAnsi="宋体" w:eastAsia="宋体" w:cs="宋体"/>
                <w:sz w:val="21"/>
                <w:szCs w:val="21"/>
                <w:highlight w:val="none"/>
              </w:rPr>
            </w:pPr>
          </w:p>
        </w:tc>
        <w:tc>
          <w:tcPr>
            <w:tcW w:w="1003" w:type="pct"/>
            <w:vAlign w:val="center"/>
          </w:tcPr>
          <w:p w14:paraId="423AE8B7">
            <w:pPr>
              <w:jc w:val="center"/>
              <w:rPr>
                <w:rFonts w:hint="eastAsia" w:ascii="宋体" w:hAnsi="宋体" w:eastAsia="宋体" w:cs="宋体"/>
                <w:sz w:val="21"/>
                <w:szCs w:val="21"/>
                <w:highlight w:val="none"/>
              </w:rPr>
            </w:pPr>
          </w:p>
        </w:tc>
        <w:tc>
          <w:tcPr>
            <w:tcW w:w="1407" w:type="pct"/>
            <w:vAlign w:val="center"/>
          </w:tcPr>
          <w:p w14:paraId="540533D9">
            <w:pPr>
              <w:jc w:val="center"/>
              <w:rPr>
                <w:rFonts w:hint="eastAsia" w:ascii="宋体" w:hAnsi="宋体" w:eastAsia="宋体" w:cs="宋体"/>
                <w:sz w:val="21"/>
                <w:szCs w:val="21"/>
                <w:highlight w:val="none"/>
              </w:rPr>
            </w:pPr>
          </w:p>
        </w:tc>
        <w:tc>
          <w:tcPr>
            <w:tcW w:w="1188" w:type="pct"/>
            <w:vAlign w:val="center"/>
          </w:tcPr>
          <w:p w14:paraId="181DACD4">
            <w:pPr>
              <w:jc w:val="center"/>
              <w:rPr>
                <w:rFonts w:hint="eastAsia" w:ascii="宋体" w:hAnsi="宋体" w:eastAsia="宋体" w:cs="宋体"/>
                <w:sz w:val="21"/>
                <w:szCs w:val="21"/>
                <w:highlight w:val="none"/>
              </w:rPr>
            </w:pPr>
          </w:p>
        </w:tc>
        <w:tc>
          <w:tcPr>
            <w:tcW w:w="661" w:type="pct"/>
            <w:vAlign w:val="center"/>
          </w:tcPr>
          <w:p w14:paraId="06F13F5B">
            <w:pPr>
              <w:jc w:val="center"/>
              <w:rPr>
                <w:rFonts w:hint="eastAsia" w:ascii="宋体" w:hAnsi="宋体" w:eastAsia="宋体" w:cs="宋体"/>
                <w:sz w:val="21"/>
                <w:szCs w:val="21"/>
                <w:highlight w:val="none"/>
              </w:rPr>
            </w:pPr>
          </w:p>
        </w:tc>
      </w:tr>
      <w:tr w14:paraId="00860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739" w:type="pct"/>
            <w:vAlign w:val="center"/>
          </w:tcPr>
          <w:p w14:paraId="609B2E7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  年</w:t>
            </w:r>
          </w:p>
        </w:tc>
        <w:tc>
          <w:tcPr>
            <w:tcW w:w="1003" w:type="pct"/>
            <w:vAlign w:val="center"/>
          </w:tcPr>
          <w:p w14:paraId="1CB73266">
            <w:pPr>
              <w:jc w:val="center"/>
              <w:rPr>
                <w:rFonts w:hint="eastAsia" w:ascii="宋体" w:hAnsi="宋体" w:eastAsia="宋体" w:cs="宋体"/>
                <w:sz w:val="21"/>
                <w:szCs w:val="21"/>
                <w:highlight w:val="none"/>
              </w:rPr>
            </w:pPr>
          </w:p>
        </w:tc>
        <w:tc>
          <w:tcPr>
            <w:tcW w:w="1407" w:type="pct"/>
            <w:vAlign w:val="center"/>
          </w:tcPr>
          <w:p w14:paraId="786CEB1B">
            <w:pPr>
              <w:jc w:val="center"/>
              <w:rPr>
                <w:rFonts w:hint="eastAsia" w:ascii="宋体" w:hAnsi="宋体" w:eastAsia="宋体" w:cs="宋体"/>
                <w:sz w:val="21"/>
                <w:szCs w:val="21"/>
                <w:highlight w:val="none"/>
              </w:rPr>
            </w:pPr>
          </w:p>
        </w:tc>
        <w:tc>
          <w:tcPr>
            <w:tcW w:w="1188" w:type="pct"/>
            <w:vAlign w:val="center"/>
          </w:tcPr>
          <w:p w14:paraId="254ACDB4">
            <w:pPr>
              <w:jc w:val="center"/>
              <w:rPr>
                <w:rFonts w:hint="eastAsia" w:ascii="宋体" w:hAnsi="宋体" w:eastAsia="宋体" w:cs="宋体"/>
                <w:sz w:val="21"/>
                <w:szCs w:val="21"/>
                <w:highlight w:val="none"/>
              </w:rPr>
            </w:pPr>
          </w:p>
        </w:tc>
        <w:tc>
          <w:tcPr>
            <w:tcW w:w="661" w:type="pct"/>
            <w:vAlign w:val="center"/>
          </w:tcPr>
          <w:p w14:paraId="1DAD4536">
            <w:pPr>
              <w:jc w:val="center"/>
              <w:rPr>
                <w:rFonts w:hint="eastAsia" w:ascii="宋体" w:hAnsi="宋体" w:eastAsia="宋体" w:cs="宋体"/>
                <w:sz w:val="21"/>
                <w:szCs w:val="21"/>
                <w:highlight w:val="none"/>
              </w:rPr>
            </w:pPr>
          </w:p>
        </w:tc>
      </w:tr>
      <w:tr w14:paraId="6F885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739" w:type="pct"/>
            <w:vAlign w:val="center"/>
          </w:tcPr>
          <w:p w14:paraId="472875FF">
            <w:pPr>
              <w:jc w:val="center"/>
              <w:rPr>
                <w:rFonts w:hint="eastAsia" w:ascii="宋体" w:hAnsi="宋体" w:eastAsia="宋体" w:cs="宋体"/>
                <w:sz w:val="21"/>
                <w:szCs w:val="21"/>
                <w:highlight w:val="none"/>
              </w:rPr>
            </w:pPr>
          </w:p>
        </w:tc>
        <w:tc>
          <w:tcPr>
            <w:tcW w:w="1003" w:type="pct"/>
            <w:vAlign w:val="center"/>
          </w:tcPr>
          <w:p w14:paraId="486EDAC1">
            <w:pPr>
              <w:jc w:val="center"/>
              <w:rPr>
                <w:rFonts w:hint="eastAsia" w:ascii="宋体" w:hAnsi="宋体" w:eastAsia="宋体" w:cs="宋体"/>
                <w:sz w:val="21"/>
                <w:szCs w:val="21"/>
                <w:highlight w:val="none"/>
              </w:rPr>
            </w:pPr>
          </w:p>
        </w:tc>
        <w:tc>
          <w:tcPr>
            <w:tcW w:w="1407" w:type="pct"/>
            <w:vAlign w:val="center"/>
          </w:tcPr>
          <w:p w14:paraId="00AB3B1A">
            <w:pPr>
              <w:jc w:val="center"/>
              <w:rPr>
                <w:rFonts w:hint="eastAsia" w:ascii="宋体" w:hAnsi="宋体" w:eastAsia="宋体" w:cs="宋体"/>
                <w:sz w:val="21"/>
                <w:szCs w:val="21"/>
                <w:highlight w:val="none"/>
              </w:rPr>
            </w:pPr>
          </w:p>
        </w:tc>
        <w:tc>
          <w:tcPr>
            <w:tcW w:w="1188" w:type="pct"/>
            <w:vAlign w:val="center"/>
          </w:tcPr>
          <w:p w14:paraId="2481B819">
            <w:pPr>
              <w:jc w:val="center"/>
              <w:rPr>
                <w:rFonts w:hint="eastAsia" w:ascii="宋体" w:hAnsi="宋体" w:eastAsia="宋体" w:cs="宋体"/>
                <w:sz w:val="21"/>
                <w:szCs w:val="21"/>
                <w:highlight w:val="none"/>
              </w:rPr>
            </w:pPr>
          </w:p>
        </w:tc>
        <w:tc>
          <w:tcPr>
            <w:tcW w:w="661" w:type="pct"/>
            <w:vAlign w:val="center"/>
          </w:tcPr>
          <w:p w14:paraId="41E7540E">
            <w:pPr>
              <w:jc w:val="center"/>
              <w:rPr>
                <w:rFonts w:hint="eastAsia" w:ascii="宋体" w:hAnsi="宋体" w:eastAsia="宋体" w:cs="宋体"/>
                <w:sz w:val="21"/>
                <w:szCs w:val="21"/>
                <w:highlight w:val="none"/>
              </w:rPr>
            </w:pPr>
          </w:p>
        </w:tc>
      </w:tr>
      <w:tr w14:paraId="16149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739" w:type="pct"/>
            <w:vAlign w:val="center"/>
          </w:tcPr>
          <w:p w14:paraId="09ED37A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  年</w:t>
            </w:r>
          </w:p>
        </w:tc>
        <w:tc>
          <w:tcPr>
            <w:tcW w:w="1003" w:type="pct"/>
            <w:vAlign w:val="center"/>
          </w:tcPr>
          <w:p w14:paraId="2C23B3FA">
            <w:pPr>
              <w:jc w:val="center"/>
              <w:rPr>
                <w:rFonts w:hint="eastAsia" w:ascii="宋体" w:hAnsi="宋体" w:eastAsia="宋体" w:cs="宋体"/>
                <w:sz w:val="21"/>
                <w:szCs w:val="21"/>
                <w:highlight w:val="none"/>
              </w:rPr>
            </w:pPr>
          </w:p>
        </w:tc>
        <w:tc>
          <w:tcPr>
            <w:tcW w:w="1407" w:type="pct"/>
            <w:vAlign w:val="center"/>
          </w:tcPr>
          <w:p w14:paraId="5803BBC2">
            <w:pPr>
              <w:jc w:val="center"/>
              <w:rPr>
                <w:rFonts w:hint="eastAsia" w:ascii="宋体" w:hAnsi="宋体" w:eastAsia="宋体" w:cs="宋体"/>
                <w:sz w:val="21"/>
                <w:szCs w:val="21"/>
                <w:highlight w:val="none"/>
              </w:rPr>
            </w:pPr>
          </w:p>
        </w:tc>
        <w:tc>
          <w:tcPr>
            <w:tcW w:w="1188" w:type="pct"/>
            <w:vAlign w:val="center"/>
          </w:tcPr>
          <w:p w14:paraId="42601E48">
            <w:pPr>
              <w:jc w:val="center"/>
              <w:rPr>
                <w:rFonts w:hint="eastAsia" w:ascii="宋体" w:hAnsi="宋体" w:eastAsia="宋体" w:cs="宋体"/>
                <w:sz w:val="21"/>
                <w:szCs w:val="21"/>
                <w:highlight w:val="none"/>
              </w:rPr>
            </w:pPr>
          </w:p>
        </w:tc>
        <w:tc>
          <w:tcPr>
            <w:tcW w:w="661" w:type="pct"/>
            <w:vAlign w:val="center"/>
          </w:tcPr>
          <w:p w14:paraId="014CD19D">
            <w:pPr>
              <w:jc w:val="center"/>
              <w:rPr>
                <w:rFonts w:hint="eastAsia" w:ascii="宋体" w:hAnsi="宋体" w:eastAsia="宋体" w:cs="宋体"/>
                <w:sz w:val="21"/>
                <w:szCs w:val="21"/>
                <w:highlight w:val="none"/>
              </w:rPr>
            </w:pPr>
          </w:p>
        </w:tc>
      </w:tr>
      <w:tr w14:paraId="401B8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739" w:type="pct"/>
            <w:vAlign w:val="center"/>
          </w:tcPr>
          <w:p w14:paraId="3E0C2715">
            <w:pPr>
              <w:jc w:val="center"/>
              <w:rPr>
                <w:rFonts w:hint="eastAsia" w:ascii="宋体" w:hAnsi="宋体" w:eastAsia="宋体" w:cs="宋体"/>
                <w:sz w:val="21"/>
                <w:szCs w:val="21"/>
                <w:highlight w:val="none"/>
              </w:rPr>
            </w:pPr>
          </w:p>
        </w:tc>
        <w:tc>
          <w:tcPr>
            <w:tcW w:w="1003" w:type="pct"/>
            <w:vAlign w:val="center"/>
          </w:tcPr>
          <w:p w14:paraId="261EE61C">
            <w:pPr>
              <w:jc w:val="center"/>
              <w:rPr>
                <w:rFonts w:hint="eastAsia" w:ascii="宋体" w:hAnsi="宋体" w:eastAsia="宋体" w:cs="宋体"/>
                <w:sz w:val="21"/>
                <w:szCs w:val="21"/>
                <w:highlight w:val="none"/>
              </w:rPr>
            </w:pPr>
          </w:p>
        </w:tc>
        <w:tc>
          <w:tcPr>
            <w:tcW w:w="1407" w:type="pct"/>
            <w:vAlign w:val="center"/>
          </w:tcPr>
          <w:p w14:paraId="134CD4A6">
            <w:pPr>
              <w:jc w:val="center"/>
              <w:rPr>
                <w:rFonts w:hint="eastAsia" w:ascii="宋体" w:hAnsi="宋体" w:eastAsia="宋体" w:cs="宋体"/>
                <w:sz w:val="21"/>
                <w:szCs w:val="21"/>
                <w:highlight w:val="none"/>
              </w:rPr>
            </w:pPr>
          </w:p>
        </w:tc>
        <w:tc>
          <w:tcPr>
            <w:tcW w:w="1188" w:type="pct"/>
            <w:vAlign w:val="center"/>
          </w:tcPr>
          <w:p w14:paraId="2093A7A2">
            <w:pPr>
              <w:jc w:val="center"/>
              <w:rPr>
                <w:rFonts w:hint="eastAsia" w:ascii="宋体" w:hAnsi="宋体" w:eastAsia="宋体" w:cs="宋体"/>
                <w:sz w:val="21"/>
                <w:szCs w:val="21"/>
                <w:highlight w:val="none"/>
              </w:rPr>
            </w:pPr>
          </w:p>
        </w:tc>
        <w:tc>
          <w:tcPr>
            <w:tcW w:w="661" w:type="pct"/>
            <w:vAlign w:val="center"/>
          </w:tcPr>
          <w:p w14:paraId="111C6E13">
            <w:pPr>
              <w:jc w:val="center"/>
              <w:rPr>
                <w:rFonts w:hint="eastAsia" w:ascii="宋体" w:hAnsi="宋体" w:eastAsia="宋体" w:cs="宋体"/>
                <w:sz w:val="21"/>
                <w:szCs w:val="21"/>
                <w:highlight w:val="none"/>
              </w:rPr>
            </w:pPr>
          </w:p>
        </w:tc>
      </w:tr>
    </w:tbl>
    <w:p w14:paraId="28D161BC">
      <w:pPr>
        <w:tabs>
          <w:tab w:val="left" w:pos="540"/>
          <w:tab w:val="left" w:pos="644"/>
          <w:tab w:val="left" w:pos="1080"/>
        </w:tabs>
        <w:adjustRightInd w:val="0"/>
        <w:snapToGrid w:val="0"/>
        <w:spacing w:line="360" w:lineRule="auto"/>
        <w:rPr>
          <w:rFonts w:hint="eastAsia" w:ascii="宋体" w:hAnsi="宋体" w:eastAsia="宋体" w:cs="宋体"/>
          <w:sz w:val="24"/>
          <w:szCs w:val="21"/>
          <w:highlight w:val="none"/>
        </w:rPr>
      </w:pPr>
    </w:p>
    <w:p w14:paraId="59E97BA0">
      <w:pPr>
        <w:adjustRightInd w:val="0"/>
        <w:snapToGrid w:val="0"/>
        <w:spacing w:line="360" w:lineRule="auto"/>
        <w:jc w:val="center"/>
        <w:rPr>
          <w:rFonts w:hint="eastAsia" w:ascii="宋体" w:hAnsi="宋体" w:eastAsia="宋体" w:cs="宋体"/>
          <w:b/>
          <w:kern w:val="0"/>
          <w:sz w:val="24"/>
          <w:szCs w:val="21"/>
          <w:highlight w:val="none"/>
        </w:rPr>
      </w:pPr>
    </w:p>
    <w:p w14:paraId="1C38EA8D">
      <w:pPr>
        <w:pStyle w:val="3"/>
        <w:spacing w:line="360" w:lineRule="auto"/>
        <w:rPr>
          <w:rFonts w:hint="eastAsia" w:ascii="宋体" w:hAnsi="宋体" w:eastAsia="宋体" w:cs="宋体"/>
          <w:b w:val="0"/>
          <w:bCs w:val="0"/>
          <w:szCs w:val="21"/>
          <w:highlight w:val="none"/>
        </w:rPr>
        <w:sectPr>
          <w:headerReference r:id="rId5" w:type="default"/>
          <w:pgSz w:w="11906" w:h="16838"/>
          <w:pgMar w:top="851" w:right="1134" w:bottom="851" w:left="1247" w:header="851" w:footer="992" w:gutter="0"/>
          <w:cols w:space="720" w:num="1"/>
          <w:docGrid w:type="lines" w:linePitch="312" w:charSpace="0"/>
        </w:sectPr>
      </w:pPr>
    </w:p>
    <w:p w14:paraId="08D750DA">
      <w:pPr>
        <w:pStyle w:val="3"/>
        <w:rPr>
          <w:rFonts w:hint="eastAsia" w:ascii="宋体" w:hAnsi="宋体" w:eastAsia="宋体" w:cs="宋体"/>
          <w:sz w:val="32"/>
          <w:highlight w:val="none"/>
        </w:rPr>
      </w:pPr>
      <w:bookmarkStart w:id="110" w:name="_Toc15557"/>
      <w:bookmarkStart w:id="111" w:name="_Toc6520"/>
      <w:bookmarkStart w:id="112" w:name="_Toc28447"/>
      <w:r>
        <w:rPr>
          <w:rFonts w:hint="eastAsia" w:ascii="宋体" w:hAnsi="宋体" w:eastAsia="宋体" w:cs="宋体"/>
          <w:bCs w:val="0"/>
          <w:sz w:val="32"/>
          <w:highlight w:val="none"/>
        </w:rPr>
        <w:t>九、</w:t>
      </w:r>
      <w:r>
        <w:rPr>
          <w:rFonts w:hint="eastAsia" w:ascii="宋体" w:hAnsi="宋体" w:eastAsia="宋体" w:cs="宋体"/>
          <w:sz w:val="32"/>
          <w:highlight w:val="none"/>
        </w:rPr>
        <w:t>资质证明文件</w:t>
      </w:r>
      <w:bookmarkEnd w:id="110"/>
      <w:bookmarkEnd w:id="111"/>
      <w:bookmarkEnd w:id="112"/>
    </w:p>
    <w:p w14:paraId="42B08688">
      <w:pPr>
        <w:tabs>
          <w:tab w:val="left" w:pos="5580"/>
        </w:tabs>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(1)法人营业执照（副本）营业执照经营范围须覆盖本项目服务范围</w:t>
      </w:r>
    </w:p>
    <w:p w14:paraId="299FD557">
      <w:pPr>
        <w:tabs>
          <w:tab w:val="left" w:pos="5580"/>
        </w:tabs>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(2)税务登记证书（已三证合一无需提供）</w:t>
      </w:r>
    </w:p>
    <w:p w14:paraId="4318E755">
      <w:pPr>
        <w:tabs>
          <w:tab w:val="left" w:pos="5580"/>
        </w:tabs>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(3)组织机构代码证（已三证合一无需提供）</w:t>
      </w:r>
    </w:p>
    <w:p w14:paraId="3BB05C58">
      <w:pPr>
        <w:tabs>
          <w:tab w:val="left" w:pos="5580"/>
        </w:tabs>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(4)法定代表人授权书（格式）</w:t>
      </w:r>
    </w:p>
    <w:p w14:paraId="53C7641A">
      <w:pPr>
        <w:tabs>
          <w:tab w:val="left" w:pos="5580"/>
        </w:tabs>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(5)授权代表身份证</w:t>
      </w:r>
    </w:p>
    <w:p w14:paraId="0544B423">
      <w:pPr>
        <w:tabs>
          <w:tab w:val="left" w:pos="5580"/>
        </w:tabs>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(6)遵守国家法律、法规，企业财务状况良好、企业信誉良好，最近3年在经营活动中没有违法、违规记录，不得存在下列情形之一：被责令停业或破产状态的，财产被接管或冻结的，被暂停或取消投标资格的承诺函</w:t>
      </w:r>
    </w:p>
    <w:p w14:paraId="0B5DEDCC">
      <w:pPr>
        <w:tabs>
          <w:tab w:val="left" w:pos="5580"/>
        </w:tabs>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(7)单位负责人为同一人或者</w:t>
      </w:r>
      <w:r>
        <w:rPr>
          <w:rFonts w:hint="eastAsia" w:ascii="宋体" w:hAnsi="宋体" w:eastAsia="宋体" w:cs="宋体"/>
          <w:sz w:val="21"/>
          <w:szCs w:val="21"/>
          <w:highlight w:val="none"/>
          <w:lang w:eastAsia="zh-CN"/>
        </w:rPr>
        <w:t>存在直接控股</w:t>
      </w:r>
      <w:r>
        <w:rPr>
          <w:rFonts w:hint="eastAsia" w:ascii="宋体" w:hAnsi="宋体" w:eastAsia="宋体" w:cs="宋体"/>
          <w:sz w:val="21"/>
          <w:szCs w:val="21"/>
          <w:highlight w:val="none"/>
        </w:rPr>
        <w:t>、管理关系的不同单位，不得同时参加同本项目比选承诺函</w:t>
      </w:r>
    </w:p>
    <w:p w14:paraId="23F425A2">
      <w:pPr>
        <w:tabs>
          <w:tab w:val="left" w:pos="5580"/>
        </w:tabs>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(8)</w:t>
      </w:r>
      <w:r>
        <w:rPr>
          <w:rFonts w:hint="eastAsia" w:ascii="宋体" w:hAnsi="宋体" w:eastAsia="宋体" w:cs="宋体"/>
          <w:sz w:val="21"/>
          <w:szCs w:val="21"/>
          <w:highlight w:val="none"/>
          <w:lang w:eastAsia="zh-CN"/>
        </w:rPr>
        <w:t>有效期内的《食品经营许可证》。</w:t>
      </w:r>
      <w:r>
        <w:rPr>
          <w:rFonts w:hint="eastAsia" w:ascii="宋体" w:hAnsi="宋体" w:eastAsia="宋体" w:cs="宋体"/>
          <w:sz w:val="21"/>
          <w:szCs w:val="21"/>
          <w:highlight w:val="none"/>
        </w:rPr>
        <w:t>复印件加盖公章</w:t>
      </w:r>
    </w:p>
    <w:p w14:paraId="5C44CBB7">
      <w:pPr>
        <w:tabs>
          <w:tab w:val="left" w:pos="5580"/>
        </w:tabs>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(9)未被“信用中国”网站（</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"http://www.creditchina.gov.cn）中列入失信被执行人和/"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www.creditchina.gov.cn）中列入失信被执行人和</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重大税收违法案件当事人名单的供应商，供应商自行查询并提供网页截图。</w:t>
      </w:r>
    </w:p>
    <w:p w14:paraId="689C3145">
      <w:pPr>
        <w:tabs>
          <w:tab w:val="left" w:pos="5580"/>
        </w:tabs>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注：1、信用查询的起止时间为本项目比选文件发出之日起至比选响应文件递交截止时间；2、采购人同时在项目评审期间通过信用中国”网站（</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"http://www.creditchina.gov.cn）中列入失信被执行人和/"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www.creditchina.gov.cn）</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进行复核查询。</w:t>
      </w:r>
    </w:p>
    <w:p w14:paraId="3C645FE9">
      <w:pPr>
        <w:adjustRightInd w:val="0"/>
        <w:snapToGrid w:val="0"/>
        <w:spacing w:line="360" w:lineRule="auto"/>
        <w:jc w:val="left"/>
        <w:rPr>
          <w:rFonts w:hint="eastAsia" w:ascii="宋体" w:hAnsi="宋体" w:eastAsia="宋体" w:cs="宋体"/>
          <w:sz w:val="24"/>
          <w:szCs w:val="21"/>
          <w:highlight w:val="none"/>
        </w:rPr>
      </w:pPr>
      <w:r>
        <w:rPr>
          <w:rFonts w:hint="eastAsia" w:ascii="宋体" w:hAnsi="宋体" w:eastAsia="宋体" w:cs="宋体"/>
          <w:b/>
          <w:sz w:val="21"/>
          <w:szCs w:val="21"/>
          <w:highlight w:val="none"/>
        </w:rPr>
        <w:t>说明：以上除注明须提供原件的文件以外，均需提供清晰复印件并加盖公章，比选供应商必须保证其真实有效，如有伪造或不实，将导致其比选响应文件被拒绝。</w:t>
      </w:r>
      <w:r>
        <w:rPr>
          <w:rFonts w:hint="eastAsia" w:ascii="宋体" w:hAnsi="宋体" w:eastAsia="宋体" w:cs="宋体"/>
          <w:sz w:val="24"/>
          <w:szCs w:val="21"/>
          <w:highlight w:val="none"/>
        </w:rPr>
        <w:br w:type="page"/>
      </w:r>
    </w:p>
    <w:p w14:paraId="1FAFEE71">
      <w:pPr>
        <w:pStyle w:val="3"/>
        <w:rPr>
          <w:rFonts w:hint="eastAsia" w:ascii="宋体" w:hAnsi="宋体" w:eastAsia="宋体" w:cs="宋体"/>
          <w:sz w:val="32"/>
          <w:highlight w:val="none"/>
        </w:rPr>
      </w:pPr>
      <w:bookmarkStart w:id="113" w:name="_Toc28921"/>
      <w:bookmarkStart w:id="114" w:name="_Toc2944"/>
      <w:bookmarkStart w:id="115" w:name="_Toc26540"/>
      <w:r>
        <w:rPr>
          <w:rFonts w:hint="eastAsia" w:ascii="宋体" w:hAnsi="宋体" w:eastAsia="宋体" w:cs="宋体"/>
          <w:sz w:val="32"/>
          <w:highlight w:val="none"/>
        </w:rPr>
        <w:t>十、服务方案</w:t>
      </w:r>
      <w:bookmarkEnd w:id="113"/>
      <w:bookmarkEnd w:id="114"/>
      <w:bookmarkEnd w:id="115"/>
    </w:p>
    <w:p w14:paraId="280CCC92">
      <w:pPr>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比选供应商应针对本项目编制并提交服务方案，主要内容应包括（但不限于）：</w:t>
      </w:r>
    </w:p>
    <w:p w14:paraId="0892BCC5">
      <w:pPr>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1）比选供应商情况、简介；</w:t>
      </w:r>
    </w:p>
    <w:p w14:paraId="085BE486">
      <w:pPr>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2）依据比选文件第四章服务需求及说明制定整体服务方案；</w:t>
      </w:r>
    </w:p>
    <w:p w14:paraId="7DF34B75">
      <w:pPr>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3）各项管理制度、服务质量标准和保证措施；</w:t>
      </w:r>
    </w:p>
    <w:p w14:paraId="1C200D8E">
      <w:pPr>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4）各类应急方案、预案（如重要活动、突发事件等）；</w:t>
      </w:r>
    </w:p>
    <w:p w14:paraId="7045505A">
      <w:pPr>
        <w:tabs>
          <w:tab w:val="left" w:pos="540"/>
          <w:tab w:val="left" w:pos="644"/>
          <w:tab w:val="left" w:pos="1080"/>
        </w:tabs>
        <w:adjustRightInd w:val="0"/>
        <w:snapToGrid w:val="0"/>
        <w:spacing w:line="360" w:lineRule="auto"/>
        <w:rPr>
          <w:rFonts w:hint="eastAsia" w:ascii="宋体" w:hAnsi="宋体" w:eastAsia="宋体" w:cs="宋体"/>
          <w:b/>
          <w:bCs/>
          <w:sz w:val="24"/>
          <w:szCs w:val="21"/>
          <w:highlight w:val="none"/>
        </w:rPr>
      </w:pPr>
      <w:r>
        <w:rPr>
          <w:rFonts w:hint="eastAsia" w:ascii="宋体" w:hAnsi="宋体" w:eastAsia="宋体" w:cs="宋体"/>
          <w:b/>
          <w:bCs/>
          <w:sz w:val="21"/>
          <w:szCs w:val="21"/>
          <w:highlight w:val="none"/>
        </w:rPr>
        <w:t>注：供应商需根据技术要求等的情况提供符合本项目的具体技术服务方案。</w:t>
      </w:r>
    </w:p>
    <w:bookmarkEnd w:id="88"/>
    <w:p w14:paraId="06D7DF77">
      <w:pPr>
        <w:rPr>
          <w:rFonts w:hint="eastAsia" w:ascii="宋体" w:hAnsi="宋体" w:eastAsia="宋体" w:cs="宋体"/>
          <w:sz w:val="44"/>
          <w:highlight w:val="none"/>
        </w:rPr>
      </w:pPr>
      <w:bookmarkStart w:id="116" w:name="_Toc3882"/>
      <w:bookmarkStart w:id="117" w:name="_Toc330205892"/>
      <w:r>
        <w:rPr>
          <w:rFonts w:hint="eastAsia" w:ascii="宋体" w:hAnsi="宋体" w:eastAsia="宋体" w:cs="宋体"/>
          <w:sz w:val="44"/>
          <w:highlight w:val="none"/>
        </w:rPr>
        <w:br w:type="page"/>
      </w:r>
    </w:p>
    <w:p w14:paraId="58E9A3AA">
      <w:pPr>
        <w:pStyle w:val="2"/>
        <w:rPr>
          <w:rFonts w:hint="eastAsia" w:ascii="宋体" w:hAnsi="宋体" w:eastAsia="宋体" w:cs="宋体"/>
          <w:sz w:val="44"/>
          <w:highlight w:val="none"/>
        </w:rPr>
      </w:pPr>
      <w:bookmarkStart w:id="118" w:name="_Toc8088"/>
      <w:bookmarkStart w:id="119" w:name="_Toc19621"/>
      <w:r>
        <w:rPr>
          <w:rFonts w:hint="eastAsia" w:ascii="宋体" w:hAnsi="宋体" w:eastAsia="宋体" w:cs="宋体"/>
          <w:sz w:val="44"/>
          <w:highlight w:val="none"/>
        </w:rPr>
        <w:t>第六章、评审办法</w:t>
      </w:r>
      <w:bookmarkEnd w:id="116"/>
      <w:bookmarkEnd w:id="117"/>
      <w:bookmarkEnd w:id="118"/>
      <w:bookmarkEnd w:id="119"/>
    </w:p>
    <w:p w14:paraId="420F8046">
      <w:pPr>
        <w:adjustRightInd w:val="0"/>
        <w:snapToGrid w:val="0"/>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一、评审原则与标准</w:t>
      </w:r>
    </w:p>
    <w:p w14:paraId="5BA15F55">
      <w:pPr>
        <w:adjustRightInd w:val="0"/>
        <w:snapToGrid w:val="0"/>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评审原则是指评审委员会成员在评审活动中应遵循的原则，即“公平、公正、科学、择优”的原则和评审保密原则。</w:t>
      </w:r>
    </w:p>
    <w:p w14:paraId="158C2729">
      <w:pPr>
        <w:adjustRightInd w:val="0"/>
        <w:snapToGrid w:val="0"/>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二、评审方法</w:t>
      </w:r>
    </w:p>
    <w:p w14:paraId="17AA968C">
      <w:pPr>
        <w:adjustRightInd w:val="0"/>
        <w:snapToGrid w:val="0"/>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本次评审采用综合评分法，首先进行资格性评审，评审通过进行入详细评审。即以有关法律法规、比选文件为依据，对比选供应商的商务、技术及比选报价等方面进行综合评估并按得分高低进行排序及推荐。若得分相同的，按比选技术部分得分高低顺序排列，依次是商务和报价。</w:t>
      </w:r>
    </w:p>
    <w:p w14:paraId="4FB704C2">
      <w:pPr>
        <w:pStyle w:val="15"/>
        <w:spacing w:line="360" w:lineRule="auto"/>
        <w:jc w:val="center"/>
        <w:rPr>
          <w:rFonts w:hint="eastAsia" w:ascii="宋体" w:hAnsi="宋体" w:eastAsia="宋体" w:cs="宋体"/>
          <w:sz w:val="21"/>
          <w:szCs w:val="21"/>
          <w:highlight w:val="none"/>
        </w:rPr>
      </w:pPr>
      <w:bookmarkStart w:id="120" w:name="_Toc414446032"/>
      <w:bookmarkStart w:id="121" w:name="_Toc19011"/>
      <w:bookmarkStart w:id="122" w:name="_Toc410631196"/>
      <w:r>
        <w:rPr>
          <w:rFonts w:hint="eastAsia" w:ascii="宋体" w:hAnsi="宋体" w:eastAsia="宋体" w:cs="宋体"/>
          <w:sz w:val="21"/>
          <w:szCs w:val="21"/>
          <w:highlight w:val="none"/>
        </w:rPr>
        <w:t>资格审查表</w:t>
      </w:r>
      <w:bookmarkEnd w:id="120"/>
      <w:bookmarkEnd w:id="121"/>
      <w:bookmarkEnd w:id="122"/>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4011"/>
        <w:gridCol w:w="3352"/>
        <w:gridCol w:w="1609"/>
      </w:tblGrid>
      <w:tr w14:paraId="4F14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93" w:type="pct"/>
            <w:vAlign w:val="center"/>
          </w:tcPr>
          <w:p w14:paraId="0D1D4782">
            <w:pPr>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2059" w:type="pct"/>
            <w:vAlign w:val="center"/>
          </w:tcPr>
          <w:p w14:paraId="7CD1F5E2">
            <w:pPr>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评审内容</w:t>
            </w:r>
          </w:p>
        </w:tc>
        <w:tc>
          <w:tcPr>
            <w:tcW w:w="1721" w:type="pct"/>
            <w:vAlign w:val="center"/>
          </w:tcPr>
          <w:p w14:paraId="14FB9A40">
            <w:pPr>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评审材料</w:t>
            </w:r>
          </w:p>
        </w:tc>
        <w:tc>
          <w:tcPr>
            <w:tcW w:w="826" w:type="pct"/>
            <w:vAlign w:val="center"/>
          </w:tcPr>
          <w:p w14:paraId="295C6F8A">
            <w:pPr>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是否符合要求</w:t>
            </w:r>
          </w:p>
        </w:tc>
      </w:tr>
      <w:tr w14:paraId="6F3B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3" w:type="pct"/>
            <w:vAlign w:val="center"/>
          </w:tcPr>
          <w:p w14:paraId="199782E5">
            <w:pPr>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059" w:type="pct"/>
          </w:tcPr>
          <w:p w14:paraId="150EA434">
            <w:pPr>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具备中华人民共和国独立法人资格，有效合法的注册资质（企业法人营业执照、税务登记证、组织机构代码证等合法有效，已完成“三证合一”登记制度改革的，须提供由工商部门核发的已加载统一社会信用代码的营业执照），营业执照经营范围须覆盖本项目服务范围</w:t>
            </w:r>
          </w:p>
        </w:tc>
        <w:tc>
          <w:tcPr>
            <w:tcW w:w="1721" w:type="pct"/>
            <w:vAlign w:val="center"/>
          </w:tcPr>
          <w:p w14:paraId="1E6B6AFA">
            <w:pPr>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企业法人营业执照、税务登记证、组织机构代码证等合法有效，已完成“三证合一”登记制度改革的，须提供由工商部门核发的已加载统一社会信用代码的营业执照，复印件加盖公章</w:t>
            </w:r>
          </w:p>
        </w:tc>
        <w:tc>
          <w:tcPr>
            <w:tcW w:w="826" w:type="pct"/>
            <w:vAlign w:val="center"/>
          </w:tcPr>
          <w:p w14:paraId="1FD5C57D">
            <w:pPr>
              <w:snapToGrid w:val="0"/>
              <w:spacing w:line="360" w:lineRule="auto"/>
              <w:ind w:left="425"/>
              <w:jc w:val="center"/>
              <w:rPr>
                <w:rFonts w:hint="eastAsia" w:ascii="宋体" w:hAnsi="宋体" w:eastAsia="宋体" w:cs="宋体"/>
                <w:sz w:val="21"/>
                <w:szCs w:val="21"/>
                <w:highlight w:val="none"/>
              </w:rPr>
            </w:pPr>
          </w:p>
        </w:tc>
      </w:tr>
      <w:tr w14:paraId="6594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3" w:type="pct"/>
            <w:vAlign w:val="center"/>
          </w:tcPr>
          <w:p w14:paraId="7E20663E">
            <w:pPr>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059" w:type="pct"/>
          </w:tcPr>
          <w:p w14:paraId="4A35DE39">
            <w:pPr>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遵守国家法律、法规，企业财务状况良好、企业信誉良好，最近3年在经营活动中没有违法、违规记录，不得存在下列情形之一：被责令停业或破产状态的，财产被接管或冻结的，被暂停或取消投标资格的</w:t>
            </w:r>
          </w:p>
        </w:tc>
        <w:tc>
          <w:tcPr>
            <w:tcW w:w="1721" w:type="pct"/>
            <w:vAlign w:val="center"/>
          </w:tcPr>
          <w:p w14:paraId="0D112124">
            <w:pPr>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承诺书</w:t>
            </w:r>
          </w:p>
        </w:tc>
        <w:tc>
          <w:tcPr>
            <w:tcW w:w="826" w:type="pct"/>
            <w:vAlign w:val="center"/>
          </w:tcPr>
          <w:p w14:paraId="6AD01395">
            <w:pPr>
              <w:snapToGrid w:val="0"/>
              <w:spacing w:line="360" w:lineRule="auto"/>
              <w:ind w:left="425"/>
              <w:jc w:val="center"/>
              <w:rPr>
                <w:rFonts w:hint="eastAsia" w:ascii="宋体" w:hAnsi="宋体" w:eastAsia="宋体" w:cs="宋体"/>
                <w:sz w:val="21"/>
                <w:szCs w:val="21"/>
                <w:highlight w:val="none"/>
              </w:rPr>
            </w:pPr>
          </w:p>
        </w:tc>
      </w:tr>
      <w:tr w14:paraId="5FC3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3" w:type="pct"/>
            <w:vAlign w:val="center"/>
          </w:tcPr>
          <w:p w14:paraId="611D6B40">
            <w:pPr>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059" w:type="pct"/>
          </w:tcPr>
          <w:p w14:paraId="00FFC268">
            <w:pPr>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单位负责人为同一人或者</w:t>
            </w:r>
            <w:r>
              <w:rPr>
                <w:rFonts w:hint="eastAsia" w:ascii="宋体" w:hAnsi="宋体" w:eastAsia="宋体" w:cs="宋体"/>
                <w:sz w:val="21"/>
                <w:szCs w:val="21"/>
                <w:highlight w:val="none"/>
                <w:lang w:eastAsia="zh-CN"/>
              </w:rPr>
              <w:t>存在直接控股</w:t>
            </w:r>
            <w:r>
              <w:rPr>
                <w:rFonts w:hint="eastAsia" w:ascii="宋体" w:hAnsi="宋体" w:eastAsia="宋体" w:cs="宋体"/>
                <w:sz w:val="21"/>
                <w:szCs w:val="21"/>
                <w:highlight w:val="none"/>
              </w:rPr>
              <w:t>、管理关系的不同单位，不得同时参加同本项目比选</w:t>
            </w:r>
          </w:p>
        </w:tc>
        <w:tc>
          <w:tcPr>
            <w:tcW w:w="1721" w:type="pct"/>
            <w:vAlign w:val="center"/>
          </w:tcPr>
          <w:p w14:paraId="5901762C">
            <w:pPr>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承诺书</w:t>
            </w:r>
          </w:p>
        </w:tc>
        <w:tc>
          <w:tcPr>
            <w:tcW w:w="826" w:type="pct"/>
            <w:vAlign w:val="center"/>
          </w:tcPr>
          <w:p w14:paraId="7EB93AD0">
            <w:pPr>
              <w:snapToGrid w:val="0"/>
              <w:spacing w:line="360" w:lineRule="auto"/>
              <w:ind w:left="425"/>
              <w:jc w:val="center"/>
              <w:rPr>
                <w:rFonts w:hint="eastAsia" w:ascii="宋体" w:hAnsi="宋体" w:eastAsia="宋体" w:cs="宋体"/>
                <w:sz w:val="21"/>
                <w:szCs w:val="21"/>
                <w:highlight w:val="none"/>
              </w:rPr>
            </w:pPr>
          </w:p>
        </w:tc>
      </w:tr>
      <w:tr w14:paraId="1080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3" w:type="pct"/>
            <w:vAlign w:val="center"/>
          </w:tcPr>
          <w:p w14:paraId="75E6BF81">
            <w:pPr>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059" w:type="pct"/>
          </w:tcPr>
          <w:p w14:paraId="5B578AFF">
            <w:pPr>
              <w:snapToGrid w:val="0"/>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须具备</w:t>
            </w:r>
            <w:r>
              <w:rPr>
                <w:rFonts w:hint="eastAsia" w:ascii="宋体" w:hAnsi="宋体" w:eastAsia="宋体" w:cs="宋体"/>
                <w:sz w:val="21"/>
                <w:szCs w:val="21"/>
                <w:highlight w:val="none"/>
                <w:lang w:eastAsia="zh-CN"/>
              </w:rPr>
              <w:t>有效期内的《食品经营许可证》。</w:t>
            </w:r>
          </w:p>
        </w:tc>
        <w:tc>
          <w:tcPr>
            <w:tcW w:w="1721" w:type="pct"/>
            <w:vAlign w:val="center"/>
          </w:tcPr>
          <w:p w14:paraId="20DA1B1B">
            <w:pPr>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证书复印件加盖公章</w:t>
            </w:r>
          </w:p>
        </w:tc>
        <w:tc>
          <w:tcPr>
            <w:tcW w:w="826" w:type="pct"/>
            <w:vAlign w:val="center"/>
          </w:tcPr>
          <w:p w14:paraId="4F894891">
            <w:pPr>
              <w:snapToGrid w:val="0"/>
              <w:spacing w:line="360" w:lineRule="auto"/>
              <w:ind w:left="425"/>
              <w:jc w:val="center"/>
              <w:rPr>
                <w:rFonts w:hint="eastAsia" w:ascii="宋体" w:hAnsi="宋体" w:eastAsia="宋体" w:cs="宋体"/>
                <w:sz w:val="21"/>
                <w:szCs w:val="21"/>
                <w:highlight w:val="none"/>
              </w:rPr>
            </w:pPr>
          </w:p>
        </w:tc>
      </w:tr>
      <w:tr w14:paraId="3C7E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3" w:type="pct"/>
            <w:vAlign w:val="center"/>
          </w:tcPr>
          <w:p w14:paraId="2BD1D382">
            <w:pPr>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059" w:type="pct"/>
            <w:vAlign w:val="center"/>
          </w:tcPr>
          <w:p w14:paraId="050F3229">
            <w:pPr>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“信用中国”网站（www.ccgp.gov.cn）查询记录</w:t>
            </w:r>
          </w:p>
        </w:tc>
        <w:tc>
          <w:tcPr>
            <w:tcW w:w="1721" w:type="pct"/>
          </w:tcPr>
          <w:p w14:paraId="3DEB5FF6">
            <w:pPr>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未被“信用中国”网站（</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"http://www.creditchina.gov.cn）中列入失信被执行人和/"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www.creditchina.gov.cn）中列入失信被执行人和</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重大税收违法案件当事人名单的供应商</w:t>
            </w:r>
          </w:p>
        </w:tc>
        <w:tc>
          <w:tcPr>
            <w:tcW w:w="826" w:type="pct"/>
            <w:vAlign w:val="center"/>
          </w:tcPr>
          <w:p w14:paraId="0B37AB7A">
            <w:pPr>
              <w:snapToGrid w:val="0"/>
              <w:spacing w:line="360" w:lineRule="auto"/>
              <w:ind w:left="425"/>
              <w:jc w:val="center"/>
              <w:rPr>
                <w:rFonts w:hint="eastAsia" w:ascii="宋体" w:hAnsi="宋体" w:eastAsia="宋体" w:cs="宋体"/>
                <w:sz w:val="21"/>
                <w:szCs w:val="21"/>
                <w:highlight w:val="none"/>
              </w:rPr>
            </w:pPr>
          </w:p>
        </w:tc>
      </w:tr>
      <w:tr w14:paraId="752F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3" w:type="pct"/>
            <w:vAlign w:val="center"/>
          </w:tcPr>
          <w:p w14:paraId="5A07065B">
            <w:pPr>
              <w:snapToGrid w:val="0"/>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2059" w:type="pct"/>
            <w:vAlign w:val="center"/>
          </w:tcPr>
          <w:p w14:paraId="49E91C1C">
            <w:pPr>
              <w:snapToGrid w:val="0"/>
              <w:spacing w:line="36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比选文件中标注</w:t>
            </w:r>
            <w:r>
              <w:rPr>
                <w:rFonts w:hint="eastAsia" w:ascii="宋体" w:hAnsi="宋体" w:eastAsia="宋体" w:cs="宋体"/>
                <w:b w:val="0"/>
                <w:bCs/>
                <w:color w:val="auto"/>
                <w:sz w:val="21"/>
                <w:szCs w:val="21"/>
                <w:highlight w:val="none"/>
                <w:lang w:val="en-US" w:eastAsia="zh-CN"/>
              </w:rPr>
              <w:t>★</w:t>
            </w:r>
            <w:r>
              <w:rPr>
                <w:rFonts w:hint="eastAsia" w:ascii="宋体" w:hAnsi="宋体" w:cs="宋体"/>
                <w:b w:val="0"/>
                <w:bCs/>
                <w:color w:val="auto"/>
                <w:sz w:val="21"/>
                <w:szCs w:val="21"/>
                <w:highlight w:val="none"/>
                <w:lang w:val="en-US" w:eastAsia="zh-CN"/>
              </w:rPr>
              <w:t>项</w:t>
            </w:r>
          </w:p>
        </w:tc>
        <w:tc>
          <w:tcPr>
            <w:tcW w:w="1721" w:type="pct"/>
          </w:tcPr>
          <w:p w14:paraId="6AED61CD">
            <w:pPr>
              <w:snapToGrid w:val="0"/>
              <w:spacing w:line="360" w:lineRule="auto"/>
              <w:jc w:val="left"/>
              <w:rPr>
                <w:rFonts w:hint="eastAsia" w:ascii="宋体" w:hAnsi="宋体" w:eastAsia="宋体" w:cs="宋体"/>
                <w:sz w:val="21"/>
                <w:szCs w:val="21"/>
                <w:highlight w:val="none"/>
              </w:rPr>
            </w:pPr>
          </w:p>
        </w:tc>
        <w:tc>
          <w:tcPr>
            <w:tcW w:w="826" w:type="pct"/>
            <w:vAlign w:val="center"/>
          </w:tcPr>
          <w:p w14:paraId="3BC0DFE0">
            <w:pPr>
              <w:snapToGrid w:val="0"/>
              <w:spacing w:line="360" w:lineRule="auto"/>
              <w:ind w:left="425"/>
              <w:jc w:val="center"/>
              <w:rPr>
                <w:rFonts w:hint="eastAsia" w:ascii="宋体" w:hAnsi="宋体" w:eastAsia="宋体" w:cs="宋体"/>
                <w:sz w:val="21"/>
                <w:szCs w:val="21"/>
                <w:highlight w:val="none"/>
              </w:rPr>
            </w:pPr>
          </w:p>
        </w:tc>
      </w:tr>
      <w:tr w14:paraId="22FB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3" w:type="pct"/>
            <w:vAlign w:val="center"/>
          </w:tcPr>
          <w:p w14:paraId="4F8FB2A0">
            <w:pPr>
              <w:snapToGrid w:val="0"/>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2059" w:type="pct"/>
            <w:vAlign w:val="center"/>
          </w:tcPr>
          <w:p w14:paraId="00988C5D">
            <w:pPr>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结论</w:t>
            </w:r>
          </w:p>
        </w:tc>
        <w:tc>
          <w:tcPr>
            <w:tcW w:w="1721" w:type="pct"/>
          </w:tcPr>
          <w:p w14:paraId="4669B381">
            <w:pPr>
              <w:snapToGrid w:val="0"/>
              <w:spacing w:line="360" w:lineRule="auto"/>
              <w:jc w:val="center"/>
              <w:rPr>
                <w:rFonts w:hint="eastAsia" w:ascii="宋体" w:hAnsi="宋体" w:eastAsia="宋体" w:cs="宋体"/>
                <w:sz w:val="21"/>
                <w:szCs w:val="21"/>
                <w:highlight w:val="none"/>
              </w:rPr>
            </w:pPr>
          </w:p>
        </w:tc>
        <w:tc>
          <w:tcPr>
            <w:tcW w:w="826" w:type="pct"/>
            <w:vAlign w:val="center"/>
          </w:tcPr>
          <w:p w14:paraId="491FE7E1">
            <w:pPr>
              <w:snapToGrid w:val="0"/>
              <w:spacing w:line="360" w:lineRule="auto"/>
              <w:ind w:left="425"/>
              <w:jc w:val="center"/>
              <w:rPr>
                <w:rFonts w:hint="eastAsia" w:ascii="宋体" w:hAnsi="宋体" w:eastAsia="宋体" w:cs="宋体"/>
                <w:sz w:val="21"/>
                <w:szCs w:val="21"/>
                <w:highlight w:val="none"/>
              </w:rPr>
            </w:pPr>
          </w:p>
        </w:tc>
      </w:tr>
    </w:tbl>
    <w:p w14:paraId="3F21F63A">
      <w:pPr>
        <w:spacing w:line="360" w:lineRule="auto"/>
        <w:ind w:left="425"/>
        <w:rPr>
          <w:rFonts w:hint="eastAsia" w:ascii="宋体" w:hAnsi="宋体" w:eastAsia="宋体" w:cs="宋体"/>
          <w:szCs w:val="21"/>
          <w:highlight w:val="none"/>
        </w:rPr>
      </w:pPr>
      <w:r>
        <w:rPr>
          <w:rFonts w:hint="eastAsia" w:ascii="宋体" w:hAnsi="宋体" w:eastAsia="宋体" w:cs="宋体"/>
          <w:sz w:val="21"/>
          <w:szCs w:val="21"/>
          <w:highlight w:val="none"/>
        </w:rPr>
        <w:t>注：符合要求用“</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”表示，不符合用“×”表示。有一项不符合要求，结论为不合格。</w:t>
      </w:r>
    </w:p>
    <w:p w14:paraId="2763F170">
      <w:pPr>
        <w:rPr>
          <w:rFonts w:hint="eastAsia" w:ascii="宋体" w:hAnsi="宋体" w:eastAsia="宋体" w:cs="宋体"/>
          <w:sz w:val="28"/>
          <w:highlight w:val="none"/>
        </w:rPr>
      </w:pPr>
      <w:r>
        <w:rPr>
          <w:rFonts w:hint="eastAsia" w:ascii="宋体" w:hAnsi="宋体" w:eastAsia="宋体" w:cs="宋体"/>
          <w:sz w:val="28"/>
          <w:highlight w:val="none"/>
        </w:rPr>
        <w:br w:type="page"/>
      </w:r>
    </w:p>
    <w:p w14:paraId="5E356E64">
      <w:pPr>
        <w:pStyle w:val="15"/>
        <w:adjustRightInd w:val="0"/>
        <w:snapToGrid w:val="0"/>
        <w:spacing w:line="360" w:lineRule="auto"/>
        <w:ind w:firstLine="480"/>
        <w:jc w:val="center"/>
        <w:rPr>
          <w:rFonts w:hint="eastAsia" w:ascii="宋体" w:hAnsi="宋体" w:eastAsia="宋体" w:cs="宋体"/>
          <w:sz w:val="28"/>
          <w:szCs w:val="21"/>
          <w:highlight w:val="none"/>
        </w:rPr>
      </w:pPr>
      <w:r>
        <w:rPr>
          <w:rFonts w:hint="eastAsia" w:ascii="宋体" w:hAnsi="宋体" w:eastAsia="宋体" w:cs="宋体"/>
          <w:sz w:val="28"/>
          <w:highlight w:val="none"/>
        </w:rPr>
        <w:t>详细评审打分表</w:t>
      </w:r>
    </w:p>
    <w:tbl>
      <w:tblPr>
        <w:tblStyle w:val="33"/>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278"/>
        <w:gridCol w:w="1376"/>
        <w:gridCol w:w="934"/>
        <w:gridCol w:w="5431"/>
      </w:tblGrid>
      <w:tr w14:paraId="44E0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Pr>
          <w:p w14:paraId="2553703F">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278" w:type="dxa"/>
          </w:tcPr>
          <w:p w14:paraId="5D16A989">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评审条款</w:t>
            </w:r>
          </w:p>
        </w:tc>
        <w:tc>
          <w:tcPr>
            <w:tcW w:w="1376" w:type="dxa"/>
          </w:tcPr>
          <w:p w14:paraId="2B8D697D">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评审因素</w:t>
            </w:r>
          </w:p>
        </w:tc>
        <w:tc>
          <w:tcPr>
            <w:tcW w:w="934" w:type="dxa"/>
          </w:tcPr>
          <w:p w14:paraId="144A89BE">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分值</w:t>
            </w:r>
          </w:p>
        </w:tc>
        <w:tc>
          <w:tcPr>
            <w:tcW w:w="5431" w:type="dxa"/>
          </w:tcPr>
          <w:p w14:paraId="22033569">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评审细则</w:t>
            </w:r>
          </w:p>
        </w:tc>
      </w:tr>
      <w:tr w14:paraId="7E17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722" w:type="dxa"/>
            <w:vAlign w:val="center"/>
          </w:tcPr>
          <w:p w14:paraId="4848D163">
            <w:pPr>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p>
        </w:tc>
        <w:tc>
          <w:tcPr>
            <w:tcW w:w="1278" w:type="dxa"/>
            <w:vMerge w:val="restart"/>
            <w:vAlign w:val="center"/>
          </w:tcPr>
          <w:p w14:paraId="368A1BA6">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商务</w:t>
            </w:r>
          </w:p>
          <w:p w14:paraId="0AB53880">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（15分）</w:t>
            </w:r>
          </w:p>
        </w:tc>
        <w:tc>
          <w:tcPr>
            <w:tcW w:w="1376" w:type="dxa"/>
            <w:vAlign w:val="center"/>
          </w:tcPr>
          <w:p w14:paraId="38E78A12">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体系认证评价</w:t>
            </w:r>
          </w:p>
        </w:tc>
        <w:tc>
          <w:tcPr>
            <w:tcW w:w="934" w:type="dxa"/>
            <w:vAlign w:val="center"/>
          </w:tcPr>
          <w:p w14:paraId="5F55B1ED">
            <w:pPr>
              <w:spacing w:line="360" w:lineRule="auto"/>
              <w:ind w:firstLine="210" w:firstLineChars="10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5分</w:t>
            </w:r>
          </w:p>
        </w:tc>
        <w:tc>
          <w:tcPr>
            <w:tcW w:w="5431" w:type="dxa"/>
          </w:tcPr>
          <w:p w14:paraId="551F36FD">
            <w:pPr>
              <w:widowControl/>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1、质量管理体系（ISO9001）1分</w:t>
            </w:r>
          </w:p>
          <w:p w14:paraId="6B37C1C8">
            <w:pPr>
              <w:widowControl/>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2、环境管理体系（ISO14000）1分</w:t>
            </w:r>
          </w:p>
          <w:p w14:paraId="2E1278B2">
            <w:pPr>
              <w:widowControl/>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3、职业健康安全管理体系（OHSAS18000）1分</w:t>
            </w:r>
          </w:p>
          <w:p w14:paraId="67003581">
            <w:pPr>
              <w:widowControl/>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4、食品安全管理体系(ISO22000)2分</w:t>
            </w:r>
          </w:p>
          <w:p w14:paraId="48C0ECBB">
            <w:pPr>
              <w:widowControl/>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b/>
                <w:bCs/>
                <w:kern w:val="0"/>
                <w:sz w:val="21"/>
                <w:szCs w:val="21"/>
                <w:highlight w:val="none"/>
              </w:rPr>
              <w:t>每</w:t>
            </w:r>
            <w:r>
              <w:rPr>
                <w:rFonts w:hint="eastAsia" w:ascii="宋体" w:hAnsi="宋体" w:eastAsia="宋体" w:cs="宋体"/>
                <w:b/>
                <w:bCs/>
                <w:kern w:val="0"/>
                <w:sz w:val="21"/>
                <w:szCs w:val="21"/>
                <w:highlight w:val="none"/>
                <w:lang w:val="en-US" w:eastAsia="zh-CN"/>
              </w:rPr>
              <w:t>提供</w:t>
            </w:r>
            <w:r>
              <w:rPr>
                <w:rFonts w:hint="eastAsia" w:ascii="宋体" w:hAnsi="宋体" w:eastAsia="宋体" w:cs="宋体"/>
                <w:b/>
                <w:bCs/>
                <w:kern w:val="0"/>
                <w:sz w:val="21"/>
                <w:szCs w:val="21"/>
                <w:highlight w:val="none"/>
              </w:rPr>
              <w:t>一个有效认证，按相应分值标准得分</w:t>
            </w:r>
          </w:p>
        </w:tc>
      </w:tr>
      <w:tr w14:paraId="59DB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722" w:type="dxa"/>
            <w:vAlign w:val="center"/>
          </w:tcPr>
          <w:p w14:paraId="41AFDBDF">
            <w:pPr>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p>
        </w:tc>
        <w:tc>
          <w:tcPr>
            <w:tcW w:w="1278" w:type="dxa"/>
            <w:vMerge w:val="continue"/>
            <w:vAlign w:val="center"/>
          </w:tcPr>
          <w:p w14:paraId="1AB158AC">
            <w:pPr>
              <w:spacing w:line="360" w:lineRule="auto"/>
              <w:jc w:val="center"/>
              <w:rPr>
                <w:rFonts w:hint="eastAsia" w:ascii="宋体" w:hAnsi="宋体" w:eastAsia="宋体" w:cs="宋体"/>
                <w:sz w:val="21"/>
                <w:szCs w:val="21"/>
                <w:highlight w:val="none"/>
              </w:rPr>
            </w:pPr>
          </w:p>
        </w:tc>
        <w:tc>
          <w:tcPr>
            <w:tcW w:w="1376" w:type="dxa"/>
            <w:vAlign w:val="center"/>
          </w:tcPr>
          <w:p w14:paraId="5A43786D">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同类业绩</w:t>
            </w:r>
          </w:p>
        </w:tc>
        <w:tc>
          <w:tcPr>
            <w:tcW w:w="934" w:type="dxa"/>
            <w:vAlign w:val="center"/>
          </w:tcPr>
          <w:p w14:paraId="2300B937">
            <w:pPr>
              <w:spacing w:line="360" w:lineRule="auto"/>
              <w:ind w:firstLine="210" w:firstLineChars="10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10分</w:t>
            </w:r>
          </w:p>
        </w:tc>
        <w:tc>
          <w:tcPr>
            <w:tcW w:w="5431" w:type="dxa"/>
          </w:tcPr>
          <w:p w14:paraId="01996590">
            <w:pPr>
              <w:spacing w:line="360" w:lineRule="auto"/>
              <w:rPr>
                <w:rFonts w:hint="eastAsia" w:ascii="宋体" w:hAnsi="宋体" w:eastAsia="宋体" w:cs="宋体"/>
                <w:bCs/>
                <w:color w:val="000000"/>
                <w:sz w:val="21"/>
                <w:szCs w:val="21"/>
                <w:highlight w:val="none"/>
              </w:rPr>
            </w:pPr>
            <w:r>
              <w:rPr>
                <w:rFonts w:hint="eastAsia" w:ascii="宋体" w:hAnsi="宋体" w:eastAsia="宋体" w:cs="宋体"/>
                <w:sz w:val="21"/>
                <w:szCs w:val="21"/>
                <w:highlight w:val="none"/>
              </w:rPr>
              <w:t>提供自20</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年起至今承担或实施的类似项目案例（每一案例分别附与用户签订的合同首页，末页关键页及客户评价）</w:t>
            </w:r>
            <w:r>
              <w:rPr>
                <w:rFonts w:hint="eastAsia" w:ascii="宋体" w:hAnsi="宋体" w:eastAsia="宋体" w:cs="宋体"/>
                <w:b/>
                <w:bCs/>
                <w:sz w:val="21"/>
                <w:szCs w:val="21"/>
                <w:highlight w:val="none"/>
              </w:rPr>
              <w:t>,每</w:t>
            </w:r>
            <w:r>
              <w:rPr>
                <w:rFonts w:hint="eastAsia" w:ascii="宋体" w:hAnsi="宋体" w:eastAsia="宋体" w:cs="宋体"/>
                <w:b/>
                <w:bCs/>
                <w:sz w:val="21"/>
                <w:szCs w:val="21"/>
                <w:highlight w:val="none"/>
                <w:lang w:val="en-US" w:eastAsia="zh-CN"/>
              </w:rPr>
              <w:t>提供</w:t>
            </w:r>
            <w:r>
              <w:rPr>
                <w:rFonts w:hint="eastAsia" w:ascii="宋体" w:hAnsi="宋体" w:eastAsia="宋体" w:cs="宋体"/>
                <w:b/>
                <w:bCs/>
                <w:sz w:val="21"/>
                <w:szCs w:val="21"/>
                <w:highlight w:val="none"/>
              </w:rPr>
              <w:t>一个有效案例得2分，最高得10分，未提供完整材料的合同案例不得分。</w:t>
            </w:r>
          </w:p>
        </w:tc>
      </w:tr>
      <w:tr w14:paraId="182E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697A2A52">
            <w:pPr>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p>
        </w:tc>
        <w:tc>
          <w:tcPr>
            <w:tcW w:w="1278" w:type="dxa"/>
            <w:vMerge w:val="restart"/>
            <w:vAlign w:val="center"/>
          </w:tcPr>
          <w:p w14:paraId="52FECFA8">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技术</w:t>
            </w:r>
          </w:p>
          <w:p w14:paraId="66D7FF16">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85</w:t>
            </w:r>
            <w:r>
              <w:rPr>
                <w:rFonts w:hint="eastAsia" w:ascii="宋体" w:hAnsi="宋体" w:eastAsia="宋体" w:cs="宋体"/>
                <w:sz w:val="21"/>
                <w:szCs w:val="21"/>
                <w:highlight w:val="none"/>
              </w:rPr>
              <w:t>分）</w:t>
            </w:r>
          </w:p>
        </w:tc>
        <w:tc>
          <w:tcPr>
            <w:tcW w:w="1376" w:type="dxa"/>
            <w:vAlign w:val="center"/>
          </w:tcPr>
          <w:p w14:paraId="2F133B7C">
            <w:pPr>
              <w:keepNext w:val="0"/>
              <w:keepLines w:val="0"/>
              <w:widowControl/>
              <w:suppressLineNumbers w:val="0"/>
              <w:spacing w:line="360" w:lineRule="auto"/>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项目需求理解分析</w:t>
            </w:r>
          </w:p>
          <w:p w14:paraId="459D0CBA">
            <w:pPr>
              <w:spacing w:line="360" w:lineRule="auto"/>
              <w:jc w:val="center"/>
              <w:rPr>
                <w:rFonts w:hint="eastAsia" w:ascii="宋体" w:hAnsi="宋体" w:eastAsia="宋体" w:cs="宋体"/>
                <w:sz w:val="21"/>
                <w:szCs w:val="21"/>
                <w:highlight w:val="none"/>
              </w:rPr>
            </w:pPr>
          </w:p>
        </w:tc>
        <w:tc>
          <w:tcPr>
            <w:tcW w:w="934" w:type="dxa"/>
            <w:vAlign w:val="center"/>
          </w:tcPr>
          <w:p w14:paraId="60B2761A">
            <w:pPr>
              <w:spacing w:line="360" w:lineRule="auto"/>
              <w:ind w:firstLine="210" w:firstLineChars="10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分</w:t>
            </w:r>
          </w:p>
        </w:tc>
        <w:tc>
          <w:tcPr>
            <w:tcW w:w="5431" w:type="dxa"/>
          </w:tcPr>
          <w:p w14:paraId="13FEA568">
            <w:pPr>
              <w:keepNext w:val="0"/>
              <w:keepLines w:val="0"/>
              <w:widowControl/>
              <w:suppressLineNumbers w:val="0"/>
              <w:spacing w:line="360" w:lineRule="auto"/>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对采购需求完全理解，对工作量评估分析完全合理,工作方案清晰准确，得7分；</w:t>
            </w:r>
          </w:p>
          <w:p w14:paraId="39312637">
            <w:pPr>
              <w:keepNext w:val="0"/>
              <w:keepLines w:val="0"/>
              <w:widowControl/>
              <w:suppressLineNumbers w:val="0"/>
              <w:spacing w:line="360" w:lineRule="auto"/>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对采购需求基本理解,对工作量评估分析较合理,工作方案较为清晰，得5分；</w:t>
            </w:r>
          </w:p>
          <w:p w14:paraId="0F202998">
            <w:pPr>
              <w:keepNext w:val="0"/>
              <w:keepLines w:val="0"/>
              <w:widowControl/>
              <w:suppressLineNumbers w:val="0"/>
              <w:spacing w:line="360" w:lineRule="auto"/>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不能对采购需求完全理解,对工作量评估分析合理性较差或较为简略,工作方案略有欠缺，得3分； </w:t>
            </w:r>
          </w:p>
          <w:p w14:paraId="0480091C">
            <w:pPr>
              <w:keepNext w:val="0"/>
              <w:keepLines w:val="0"/>
              <w:widowControl/>
              <w:suppressLineNumbers w:val="0"/>
              <w:spacing w:line="360" w:lineRule="auto"/>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不能对采购需求准确理解,对工作量的评估分析不合理性或没有针对性，工作方案简单。得1分； </w:t>
            </w:r>
          </w:p>
          <w:p w14:paraId="16711204">
            <w:pPr>
              <w:spacing w:line="360" w:lineRule="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没有提供有针对性的服务需求理解和分析，得0分</w:t>
            </w:r>
          </w:p>
        </w:tc>
      </w:tr>
      <w:tr w14:paraId="30A3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2ADCE6E5">
            <w:pPr>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p>
        </w:tc>
        <w:tc>
          <w:tcPr>
            <w:tcW w:w="1278" w:type="dxa"/>
            <w:vMerge w:val="continue"/>
            <w:vAlign w:val="center"/>
          </w:tcPr>
          <w:p w14:paraId="54F97E08">
            <w:pPr>
              <w:spacing w:line="360" w:lineRule="auto"/>
              <w:jc w:val="center"/>
              <w:rPr>
                <w:rFonts w:hint="eastAsia" w:ascii="宋体" w:hAnsi="宋体" w:eastAsia="宋体" w:cs="宋体"/>
                <w:sz w:val="21"/>
                <w:szCs w:val="21"/>
                <w:highlight w:val="none"/>
              </w:rPr>
            </w:pPr>
          </w:p>
        </w:tc>
        <w:tc>
          <w:tcPr>
            <w:tcW w:w="1376" w:type="dxa"/>
            <w:vAlign w:val="center"/>
          </w:tcPr>
          <w:p w14:paraId="26895849">
            <w:pPr>
              <w:keepNext w:val="0"/>
              <w:keepLines w:val="0"/>
              <w:widowControl/>
              <w:suppressLineNumbers w:val="0"/>
              <w:spacing w:line="360" w:lineRule="auto"/>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人员配备</w:t>
            </w:r>
          </w:p>
          <w:p w14:paraId="5B20815F">
            <w:pPr>
              <w:spacing w:line="360" w:lineRule="auto"/>
              <w:jc w:val="center"/>
              <w:rPr>
                <w:rFonts w:hint="eastAsia" w:ascii="宋体" w:hAnsi="宋体" w:eastAsia="宋体" w:cs="宋体"/>
                <w:sz w:val="21"/>
                <w:szCs w:val="21"/>
                <w:highlight w:val="none"/>
              </w:rPr>
            </w:pPr>
          </w:p>
        </w:tc>
        <w:tc>
          <w:tcPr>
            <w:tcW w:w="934" w:type="dxa"/>
            <w:vAlign w:val="center"/>
          </w:tcPr>
          <w:p w14:paraId="54D4A471">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w:t>
            </w:r>
          </w:p>
        </w:tc>
        <w:tc>
          <w:tcPr>
            <w:tcW w:w="5431" w:type="dxa"/>
          </w:tcPr>
          <w:p w14:paraId="39D17D23">
            <w:pPr>
              <w:keepNext w:val="0"/>
              <w:keepLines w:val="0"/>
              <w:widowControl/>
              <w:suppressLineNumbers w:val="0"/>
              <w:spacing w:line="360" w:lineRule="auto"/>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针对本招标文件采购需求要求，对人员配备情况进行评审(包括但不限于经理、厨师、服务员、洗消员、保洁员等)：</w:t>
            </w:r>
          </w:p>
          <w:p w14:paraId="610DB46F">
            <w:pPr>
              <w:keepNext w:val="0"/>
              <w:keepLines w:val="0"/>
              <w:widowControl/>
              <w:suppressLineNumbers w:val="0"/>
              <w:spacing w:line="360" w:lineRule="auto"/>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人员配备架构清晰,岗位配备全面,各岗位职责科学合理清晰,针对性强，完全满足服务要求，得8分； </w:t>
            </w:r>
          </w:p>
          <w:p w14:paraId="57EA4FEA">
            <w:pPr>
              <w:keepNext w:val="0"/>
              <w:keepLines w:val="0"/>
              <w:widowControl/>
              <w:suppressLineNumbers w:val="0"/>
              <w:spacing w:line="360" w:lineRule="auto"/>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人员配备架构较为清晰,岗位配备较为全面,各岗位职责基本合理清晰,针对性较强,基本满足服务要求，得6分；</w:t>
            </w:r>
          </w:p>
          <w:p w14:paraId="09B7AE09">
            <w:pPr>
              <w:keepNext w:val="0"/>
              <w:keepLines w:val="0"/>
              <w:widowControl/>
              <w:suppressLineNumbers w:val="0"/>
              <w:spacing w:line="360" w:lineRule="auto"/>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有基本的人员配备架构,岗位配备简略有缺失,岗位职责针对性较弱,仅有基本描述，无法确定是否完全满足服务要求，得4分； </w:t>
            </w:r>
          </w:p>
          <w:p w14:paraId="27E0F8D8">
            <w:pPr>
              <w:keepNext w:val="0"/>
              <w:keepLines w:val="0"/>
              <w:widowControl/>
              <w:suppressLineNumbers w:val="0"/>
              <w:spacing w:line="360" w:lineRule="auto"/>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人员配备架构和岗位配备模糊,岗位职责不完整或未提供，没有针对性,无法确定是否满足服务要求，得2分；</w:t>
            </w:r>
          </w:p>
          <w:p w14:paraId="28304E41">
            <w:pPr>
              <w:keepNext w:val="0"/>
              <w:keepLines w:val="0"/>
              <w:widowControl/>
              <w:suppressLineNumbers w:val="0"/>
              <w:spacing w:line="360" w:lineRule="auto"/>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没有提供针对本项目的团队架构情况的，0分。</w:t>
            </w:r>
          </w:p>
        </w:tc>
      </w:tr>
      <w:tr w14:paraId="7A72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43FFBF59">
            <w:pPr>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p>
        </w:tc>
        <w:tc>
          <w:tcPr>
            <w:tcW w:w="1278" w:type="dxa"/>
            <w:vMerge w:val="continue"/>
            <w:vAlign w:val="center"/>
          </w:tcPr>
          <w:p w14:paraId="6DAD6BB9">
            <w:pPr>
              <w:spacing w:line="360" w:lineRule="auto"/>
              <w:jc w:val="center"/>
              <w:rPr>
                <w:rFonts w:hint="eastAsia" w:ascii="宋体" w:hAnsi="宋体" w:eastAsia="宋体" w:cs="宋体"/>
                <w:sz w:val="21"/>
                <w:szCs w:val="21"/>
                <w:highlight w:val="none"/>
              </w:rPr>
            </w:pPr>
          </w:p>
        </w:tc>
        <w:tc>
          <w:tcPr>
            <w:tcW w:w="1376" w:type="dxa"/>
            <w:vAlign w:val="center"/>
          </w:tcPr>
          <w:p w14:paraId="476E4A08">
            <w:pPr>
              <w:keepNext w:val="0"/>
              <w:keepLines w:val="0"/>
              <w:widowControl/>
              <w:suppressLineNumbers w:val="0"/>
              <w:spacing w:line="360" w:lineRule="auto"/>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服务方案</w:t>
            </w:r>
          </w:p>
        </w:tc>
        <w:tc>
          <w:tcPr>
            <w:tcW w:w="934" w:type="dxa"/>
            <w:vAlign w:val="center"/>
          </w:tcPr>
          <w:p w14:paraId="69080B2D">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14</w:t>
            </w:r>
            <w:r>
              <w:rPr>
                <w:rFonts w:hint="eastAsia" w:ascii="宋体" w:hAnsi="宋体" w:eastAsia="宋体" w:cs="宋体"/>
                <w:sz w:val="21"/>
                <w:szCs w:val="21"/>
                <w:highlight w:val="none"/>
              </w:rPr>
              <w:t>分</w:t>
            </w:r>
          </w:p>
        </w:tc>
        <w:tc>
          <w:tcPr>
            <w:tcW w:w="5431" w:type="dxa"/>
          </w:tcPr>
          <w:p w14:paraId="616893E3">
            <w:pPr>
              <w:keepNext w:val="0"/>
              <w:keepLines w:val="0"/>
              <w:widowControl/>
              <w:suppressLineNumbers w:val="0"/>
              <w:spacing w:line="360" w:lineRule="auto"/>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针对本比选文件具体要求内容，对服务方案进行评审</w:t>
            </w:r>
          </w:p>
          <w:p w14:paraId="510D48F8">
            <w:pPr>
              <w:keepNext w:val="0"/>
              <w:keepLines w:val="0"/>
              <w:widowControl/>
              <w:suppressLineNumbers w:val="0"/>
              <w:spacing w:line="360" w:lineRule="auto"/>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方案能够紧密结合实际情况,充分考虑到服务对象特征,针对性强,规范、科学、全面,工作流程合理得当，得14分； </w:t>
            </w:r>
          </w:p>
          <w:p w14:paraId="0A4849C1">
            <w:pPr>
              <w:keepNext w:val="0"/>
              <w:keepLines w:val="0"/>
              <w:widowControl/>
              <w:suppressLineNumbers w:val="0"/>
              <w:spacing w:line="360" w:lineRule="auto"/>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方案能够基本结合实际情况,考虑到服务对象特征,有一定针对性,较为规范,全面,工作流程基本合理，得10分； </w:t>
            </w:r>
          </w:p>
          <w:p w14:paraId="0EC1217A">
            <w:pPr>
              <w:keepNext w:val="0"/>
              <w:keepLines w:val="0"/>
              <w:widowControl/>
              <w:suppressLineNumbers w:val="0"/>
              <w:spacing w:line="360" w:lineRule="auto"/>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方案对实际情况结合较少,或不能充分考虑到服务对象特征,针对性较弱,仅做范本性的描述,工作流程合理性一般，得7分； </w:t>
            </w:r>
          </w:p>
          <w:p w14:paraId="7D91345B">
            <w:pPr>
              <w:keepNext w:val="0"/>
              <w:keepLines w:val="0"/>
              <w:widowControl/>
              <w:suppressLineNumbers w:val="0"/>
              <w:spacing w:line="360" w:lineRule="auto"/>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方案对实际情况结合较少，也不能充分考虑到服务对象特征,针对性较弱,规范性或完整性有欠缺，工作流程合理性较弱，得3分； </w:t>
            </w:r>
          </w:p>
          <w:p w14:paraId="7106037C">
            <w:pPr>
              <w:numPr>
                <w:ilvl w:val="0"/>
                <w:numId w:val="0"/>
              </w:numPr>
              <w:spacing w:line="360" w:lineRule="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没有提供具体方案的，得0分。</w:t>
            </w:r>
          </w:p>
        </w:tc>
      </w:tr>
      <w:tr w14:paraId="54B8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17F4F195">
            <w:pPr>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6</w:t>
            </w:r>
          </w:p>
        </w:tc>
        <w:tc>
          <w:tcPr>
            <w:tcW w:w="1278" w:type="dxa"/>
            <w:vMerge w:val="continue"/>
            <w:vAlign w:val="center"/>
          </w:tcPr>
          <w:p w14:paraId="5C6D7001">
            <w:pPr>
              <w:spacing w:line="360" w:lineRule="auto"/>
              <w:jc w:val="center"/>
              <w:rPr>
                <w:rFonts w:hint="eastAsia" w:ascii="宋体" w:hAnsi="宋体" w:eastAsia="宋体" w:cs="宋体"/>
                <w:sz w:val="21"/>
                <w:szCs w:val="21"/>
                <w:highlight w:val="none"/>
              </w:rPr>
            </w:pPr>
          </w:p>
        </w:tc>
        <w:tc>
          <w:tcPr>
            <w:tcW w:w="1376" w:type="dxa"/>
            <w:vAlign w:val="center"/>
          </w:tcPr>
          <w:p w14:paraId="68E51C44">
            <w:pPr>
              <w:keepNext w:val="0"/>
              <w:keepLines w:val="0"/>
              <w:widowControl/>
              <w:suppressLineNumbers w:val="0"/>
              <w:spacing w:line="360" w:lineRule="auto"/>
              <w:ind w:firstLine="210" w:firstLineChars="10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配餐的 </w:t>
            </w:r>
          </w:p>
          <w:p w14:paraId="200CCE0D">
            <w:pPr>
              <w:keepNext w:val="0"/>
              <w:keepLines w:val="0"/>
              <w:widowControl/>
              <w:suppressLineNumbers w:val="0"/>
              <w:spacing w:line="360" w:lineRule="auto"/>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合理搭配</w:t>
            </w:r>
          </w:p>
          <w:p w14:paraId="4DB429EA">
            <w:pPr>
              <w:spacing w:line="360" w:lineRule="auto"/>
              <w:jc w:val="center"/>
              <w:rPr>
                <w:rFonts w:hint="eastAsia" w:ascii="宋体" w:hAnsi="宋体" w:eastAsia="宋体" w:cs="宋体"/>
                <w:sz w:val="21"/>
                <w:szCs w:val="21"/>
                <w:highlight w:val="none"/>
              </w:rPr>
            </w:pPr>
          </w:p>
        </w:tc>
        <w:tc>
          <w:tcPr>
            <w:tcW w:w="934" w:type="dxa"/>
            <w:vAlign w:val="center"/>
          </w:tcPr>
          <w:p w14:paraId="1DFC8143">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5431" w:type="dxa"/>
          </w:tcPr>
          <w:p w14:paraId="32C48096">
            <w:pPr>
              <w:keepNext w:val="0"/>
              <w:keepLines w:val="0"/>
              <w:widowControl/>
              <w:suppressLineNumbers w:val="0"/>
              <w:spacing w:line="360" w:lineRule="auto"/>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针对本项目的特点和要求,对配餐的搭配进行评审：</w:t>
            </w:r>
          </w:p>
          <w:p w14:paraId="04D2BE92">
            <w:pPr>
              <w:keepNext w:val="0"/>
              <w:keepLines w:val="0"/>
              <w:widowControl/>
              <w:suppressLineNumbers w:val="0"/>
              <w:spacing w:line="360" w:lineRule="auto"/>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提供的食谱满足本项目餐食标准,配餐营养丰富、主、副食及荤素搭配合理,得10分； </w:t>
            </w:r>
          </w:p>
          <w:p w14:paraId="25743394">
            <w:pPr>
              <w:keepNext w:val="0"/>
              <w:keepLines w:val="0"/>
              <w:widowControl/>
              <w:suppressLineNumbers w:val="0"/>
              <w:spacing w:line="360" w:lineRule="auto"/>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提供的食谱基本满足餐食标准,配餐营养较丰富、主、副食及荤素搭配较合理,得7分； </w:t>
            </w:r>
          </w:p>
          <w:p w14:paraId="53CF8AF9">
            <w:pPr>
              <w:keepNext w:val="0"/>
              <w:keepLines w:val="0"/>
              <w:widowControl/>
              <w:suppressLineNumbers w:val="0"/>
              <w:spacing w:line="360" w:lineRule="auto"/>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提供的食谱仅满足餐食标准,但配餐不丰富且搭配不合理,得3分； </w:t>
            </w:r>
          </w:p>
          <w:p w14:paraId="451C651C">
            <w:pPr>
              <w:spacing w:line="360" w:lineRule="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没有提供具体餐食标准的，得0分。</w:t>
            </w:r>
          </w:p>
        </w:tc>
      </w:tr>
      <w:tr w14:paraId="5373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4538412B">
            <w:pPr>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p>
        </w:tc>
        <w:tc>
          <w:tcPr>
            <w:tcW w:w="1278" w:type="dxa"/>
            <w:vMerge w:val="continue"/>
            <w:vAlign w:val="center"/>
          </w:tcPr>
          <w:p w14:paraId="05240023">
            <w:pPr>
              <w:spacing w:line="360" w:lineRule="auto"/>
              <w:jc w:val="center"/>
              <w:rPr>
                <w:rFonts w:hint="eastAsia" w:ascii="宋体" w:hAnsi="宋体" w:eastAsia="宋体" w:cs="宋体"/>
                <w:sz w:val="21"/>
                <w:szCs w:val="21"/>
                <w:highlight w:val="none"/>
              </w:rPr>
            </w:pPr>
          </w:p>
        </w:tc>
        <w:tc>
          <w:tcPr>
            <w:tcW w:w="1376" w:type="dxa"/>
            <w:vAlign w:val="center"/>
          </w:tcPr>
          <w:p w14:paraId="02A3A3A8">
            <w:pPr>
              <w:spacing w:line="360" w:lineRule="auto"/>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应急预案</w:t>
            </w:r>
            <w:r>
              <w:rPr>
                <w:rFonts w:hint="eastAsia" w:ascii="宋体" w:hAnsi="宋体" w:eastAsia="宋体" w:cs="宋体"/>
                <w:kern w:val="0"/>
                <w:sz w:val="21"/>
                <w:szCs w:val="21"/>
                <w:highlight w:val="none"/>
              </w:rPr>
              <w:br w:type="textWrapping"/>
            </w:r>
          </w:p>
        </w:tc>
        <w:tc>
          <w:tcPr>
            <w:tcW w:w="934" w:type="dxa"/>
            <w:vAlign w:val="center"/>
          </w:tcPr>
          <w:p w14:paraId="76864E65">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w:t>
            </w:r>
          </w:p>
        </w:tc>
        <w:tc>
          <w:tcPr>
            <w:tcW w:w="5431" w:type="dxa"/>
          </w:tcPr>
          <w:p w14:paraId="1D6D993E">
            <w:pPr>
              <w:keepNext w:val="0"/>
              <w:keepLines w:val="0"/>
              <w:widowControl/>
              <w:suppressLineNumbers w:val="0"/>
              <w:spacing w:line="360" w:lineRule="auto"/>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应急预案措施是否合理，是否具有可行性,包括但不限于消防、食物中毒、断水断电断气等突发事件应急机制。突发应急预案全面详细 ,安全措施有针对性、方法科学有效、控制手段先进,且可操作性高，得8分； </w:t>
            </w:r>
          </w:p>
          <w:p w14:paraId="210AF53D">
            <w:pPr>
              <w:keepNext w:val="0"/>
              <w:keepLines w:val="0"/>
              <w:widowControl/>
              <w:suppressLineNumbers w:val="0"/>
              <w:spacing w:line="360" w:lineRule="auto"/>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突发应急预案较为全面详细,安全措施有一定的针对性,方法较为科学,控制手段较为先进,具有一定的可操作性，得6分； </w:t>
            </w:r>
          </w:p>
          <w:p w14:paraId="4B8AE303">
            <w:pPr>
              <w:keepNext w:val="0"/>
              <w:keepLines w:val="0"/>
              <w:widowControl/>
              <w:suppressLineNumbers w:val="0"/>
              <w:spacing w:line="360" w:lineRule="auto"/>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突发应急预案基本全面,方法较为科学,但针对性较弱,仅为范本性描述,控制手段较为单一,可操作性较弱，得4分； </w:t>
            </w:r>
          </w:p>
          <w:p w14:paraId="2544F922">
            <w:pPr>
              <w:keepNext w:val="0"/>
              <w:keepLines w:val="0"/>
              <w:widowControl/>
              <w:suppressLineNumbers w:val="0"/>
              <w:spacing w:line="360" w:lineRule="auto"/>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突发应急预案有遗漏或较片面,针对性较差,可操作性较差，得2分；  </w:t>
            </w:r>
          </w:p>
          <w:p w14:paraId="7F41410D">
            <w:pPr>
              <w:spacing w:line="360" w:lineRule="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没有提供具体预案的，得0分。</w:t>
            </w:r>
          </w:p>
        </w:tc>
      </w:tr>
      <w:tr w14:paraId="4745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383B9CC6">
            <w:pPr>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w:t>
            </w:r>
          </w:p>
        </w:tc>
        <w:tc>
          <w:tcPr>
            <w:tcW w:w="1278" w:type="dxa"/>
            <w:vMerge w:val="continue"/>
            <w:vAlign w:val="center"/>
          </w:tcPr>
          <w:p w14:paraId="18A88CCE">
            <w:pPr>
              <w:spacing w:line="360" w:lineRule="auto"/>
              <w:jc w:val="center"/>
              <w:rPr>
                <w:rFonts w:hint="eastAsia" w:ascii="宋体" w:hAnsi="宋体" w:eastAsia="宋体" w:cs="宋体"/>
                <w:sz w:val="21"/>
                <w:szCs w:val="21"/>
                <w:highlight w:val="none"/>
              </w:rPr>
            </w:pPr>
          </w:p>
        </w:tc>
        <w:tc>
          <w:tcPr>
            <w:tcW w:w="1376" w:type="dxa"/>
            <w:vAlign w:val="center"/>
          </w:tcPr>
          <w:p w14:paraId="4D2C683E">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食堂设备维护、节能措施及维护</w:t>
            </w:r>
          </w:p>
        </w:tc>
        <w:tc>
          <w:tcPr>
            <w:tcW w:w="934" w:type="dxa"/>
            <w:vAlign w:val="center"/>
          </w:tcPr>
          <w:p w14:paraId="035AB489">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tc>
        <w:tc>
          <w:tcPr>
            <w:tcW w:w="5431" w:type="dxa"/>
          </w:tcPr>
          <w:p w14:paraId="061654B8">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1、对采购人提供现有条件完善的运行维护方案并有可实施性的，水电气的节能措施方案完善、合理、可行、有针对性并有节能承诺得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p w14:paraId="01E478B2">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2、运行维护方案较完善、较合理可行，水电气的节能措施方案完善、可行、并有节能承诺得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p w14:paraId="12ACD76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3、运行维护方案较完善、较合理可行，水电气的节能措施方案较完善、较可行、针对性一般并有节能承诺得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p w14:paraId="774B1F55">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4、方案不完善没有节能承诺的不得分。</w:t>
            </w:r>
          </w:p>
        </w:tc>
      </w:tr>
      <w:tr w14:paraId="1409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17CA0675">
            <w:pPr>
              <w:spacing w:line="360" w:lineRule="auto"/>
              <w:jc w:val="center"/>
              <w:rPr>
                <w:rFonts w:hint="eastAsia" w:ascii="宋体" w:hAnsi="宋体" w:eastAsia="宋体" w:cs="宋体"/>
                <w:sz w:val="21"/>
                <w:szCs w:val="21"/>
                <w:highlight w:val="none"/>
                <w:lang w:val="en-US" w:eastAsia="zh-CN"/>
              </w:rPr>
            </w:pPr>
          </w:p>
        </w:tc>
        <w:tc>
          <w:tcPr>
            <w:tcW w:w="1278" w:type="dxa"/>
            <w:vAlign w:val="center"/>
          </w:tcPr>
          <w:p w14:paraId="743B531B">
            <w:pPr>
              <w:spacing w:line="360" w:lineRule="auto"/>
              <w:jc w:val="center"/>
              <w:rPr>
                <w:rFonts w:hint="eastAsia" w:ascii="宋体" w:hAnsi="宋体" w:eastAsia="宋体" w:cs="宋体"/>
                <w:sz w:val="21"/>
                <w:szCs w:val="21"/>
                <w:highlight w:val="none"/>
              </w:rPr>
            </w:pPr>
          </w:p>
        </w:tc>
        <w:tc>
          <w:tcPr>
            <w:tcW w:w="1376" w:type="dxa"/>
            <w:vAlign w:val="center"/>
          </w:tcPr>
          <w:p w14:paraId="0DBAD23B">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安全管理方案</w:t>
            </w:r>
          </w:p>
        </w:tc>
        <w:tc>
          <w:tcPr>
            <w:tcW w:w="934" w:type="dxa"/>
            <w:vAlign w:val="center"/>
          </w:tcPr>
          <w:p w14:paraId="0AAD9EFC">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6分</w:t>
            </w:r>
          </w:p>
        </w:tc>
        <w:tc>
          <w:tcPr>
            <w:tcW w:w="5431" w:type="dxa"/>
          </w:tcPr>
          <w:p w14:paraId="75B0415E">
            <w:pPr>
              <w:keepNext w:val="0"/>
              <w:keepLines w:val="0"/>
              <w:widowControl/>
              <w:suppressLineNumbers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针对本项目的</w:t>
            </w:r>
            <w:r>
              <w:rPr>
                <w:rFonts w:hint="eastAsia" w:ascii="宋体" w:hAnsi="宋体" w:eastAsia="宋体" w:cs="宋体"/>
                <w:sz w:val="21"/>
                <w:szCs w:val="21"/>
                <w:highlight w:val="none"/>
              </w:rPr>
              <w:t>实际情况制定餐饮质量保证方案、卫生安全保障措施、安全生产保障措施等。</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lang w:val="en-US" w:eastAsia="zh-CN"/>
              </w:rPr>
              <w:t>安全管理方案</w:t>
            </w:r>
            <w:r>
              <w:rPr>
                <w:rFonts w:hint="eastAsia" w:ascii="宋体" w:hAnsi="宋体" w:eastAsia="宋体" w:cs="宋体"/>
                <w:sz w:val="21"/>
                <w:szCs w:val="21"/>
                <w:highlight w:val="none"/>
              </w:rPr>
              <w:t>内容较为详细、较为全面、可行性较好、针对性较强的，得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p w14:paraId="03EA35FD">
            <w:pPr>
              <w:keepNext w:val="0"/>
              <w:keepLines w:val="0"/>
              <w:widowControl/>
              <w:suppressLineNumbers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安全管理方案</w:t>
            </w:r>
            <w:r>
              <w:rPr>
                <w:rFonts w:hint="eastAsia" w:ascii="宋体" w:hAnsi="宋体" w:eastAsia="宋体" w:cs="宋体"/>
                <w:sz w:val="21"/>
                <w:szCs w:val="21"/>
                <w:highlight w:val="none"/>
              </w:rPr>
              <w:t>内容详细性一般、不够全面、可行性一般、针对性一般的，得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p w14:paraId="3EB04A03">
            <w:pPr>
              <w:keepNext w:val="0"/>
              <w:keepLines w:val="0"/>
              <w:widowControl/>
              <w:suppressLineNumbers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安全管理方案</w:t>
            </w:r>
            <w:r>
              <w:rPr>
                <w:rFonts w:hint="eastAsia" w:ascii="宋体" w:hAnsi="宋体" w:eastAsia="宋体" w:cs="宋体"/>
                <w:sz w:val="21"/>
                <w:szCs w:val="21"/>
                <w:highlight w:val="none"/>
              </w:rPr>
              <w:t>内容不够详细、不够全面、可行性较差、针对性较差的，得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p w14:paraId="2538DE5F">
            <w:pPr>
              <w:keepNext w:val="0"/>
              <w:keepLines w:val="0"/>
              <w:widowControl/>
              <w:suppressLineNumbers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未提供</w:t>
            </w:r>
            <w:r>
              <w:rPr>
                <w:rFonts w:hint="eastAsia" w:ascii="宋体" w:hAnsi="宋体" w:eastAsia="宋体" w:cs="宋体"/>
                <w:sz w:val="21"/>
                <w:szCs w:val="21"/>
                <w:highlight w:val="none"/>
                <w:lang w:val="en-US" w:eastAsia="zh-CN"/>
              </w:rPr>
              <w:t>安全管理方案</w:t>
            </w:r>
            <w:r>
              <w:rPr>
                <w:rFonts w:hint="eastAsia" w:ascii="宋体" w:hAnsi="宋体" w:eastAsia="宋体" w:cs="宋体"/>
                <w:sz w:val="21"/>
                <w:szCs w:val="21"/>
                <w:highlight w:val="none"/>
              </w:rPr>
              <w:t>得0分。</w:t>
            </w:r>
          </w:p>
        </w:tc>
      </w:tr>
      <w:tr w14:paraId="2151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11D48D65">
            <w:pPr>
              <w:spacing w:line="360" w:lineRule="auto"/>
              <w:jc w:val="center"/>
              <w:rPr>
                <w:rFonts w:hint="eastAsia" w:ascii="宋体" w:hAnsi="宋体" w:eastAsia="宋体" w:cs="宋体"/>
                <w:sz w:val="21"/>
                <w:szCs w:val="21"/>
                <w:highlight w:val="none"/>
                <w:lang w:val="en-US" w:eastAsia="zh-CN"/>
              </w:rPr>
            </w:pPr>
          </w:p>
        </w:tc>
        <w:tc>
          <w:tcPr>
            <w:tcW w:w="1278" w:type="dxa"/>
            <w:vAlign w:val="center"/>
          </w:tcPr>
          <w:p w14:paraId="7D9206F7">
            <w:pPr>
              <w:spacing w:line="360" w:lineRule="auto"/>
              <w:jc w:val="center"/>
              <w:rPr>
                <w:rFonts w:hint="eastAsia" w:ascii="宋体" w:hAnsi="宋体" w:eastAsia="宋体" w:cs="宋体"/>
                <w:sz w:val="21"/>
                <w:szCs w:val="21"/>
                <w:highlight w:val="none"/>
              </w:rPr>
            </w:pPr>
          </w:p>
        </w:tc>
        <w:tc>
          <w:tcPr>
            <w:tcW w:w="1376" w:type="dxa"/>
            <w:vAlign w:val="center"/>
          </w:tcPr>
          <w:p w14:paraId="73546725">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优惠服务方案</w:t>
            </w:r>
          </w:p>
        </w:tc>
        <w:tc>
          <w:tcPr>
            <w:tcW w:w="934" w:type="dxa"/>
            <w:vAlign w:val="center"/>
          </w:tcPr>
          <w:p w14:paraId="1DF58AF9">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5431" w:type="dxa"/>
          </w:tcPr>
          <w:p w14:paraId="481FC700">
            <w:pPr>
              <w:keepNext w:val="0"/>
              <w:keepLines w:val="0"/>
              <w:widowControl/>
              <w:suppressLineNumbers w:val="0"/>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针对本项目制定的优惠服务方案贴合项目需求，优惠规则清晰，资金保障措施到位，能保障优惠顺利执行，得3分；</w:t>
            </w:r>
          </w:p>
          <w:p w14:paraId="06CDCD5E">
            <w:pPr>
              <w:keepNext w:val="0"/>
              <w:keepLines w:val="0"/>
              <w:widowControl/>
              <w:suppressLineNumbers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优惠服务方案基本合理，优惠细节或执行流程存在疏漏，但整体可满足项目服务期基本需求，得1分。</w:t>
            </w:r>
          </w:p>
        </w:tc>
      </w:tr>
      <w:tr w14:paraId="1D11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0BFB0051">
            <w:pPr>
              <w:spacing w:line="360" w:lineRule="auto"/>
              <w:jc w:val="center"/>
              <w:rPr>
                <w:rFonts w:hint="eastAsia" w:ascii="宋体" w:hAnsi="宋体" w:eastAsia="宋体" w:cs="宋体"/>
                <w:sz w:val="21"/>
                <w:szCs w:val="21"/>
                <w:highlight w:val="none"/>
                <w:lang w:val="en-US" w:eastAsia="zh-CN"/>
              </w:rPr>
            </w:pPr>
          </w:p>
        </w:tc>
        <w:tc>
          <w:tcPr>
            <w:tcW w:w="1278" w:type="dxa"/>
            <w:vAlign w:val="center"/>
          </w:tcPr>
          <w:p w14:paraId="65FEA235">
            <w:pPr>
              <w:spacing w:line="360" w:lineRule="auto"/>
              <w:jc w:val="center"/>
              <w:rPr>
                <w:rFonts w:hint="eastAsia" w:ascii="宋体" w:hAnsi="宋体" w:eastAsia="宋体" w:cs="宋体"/>
                <w:sz w:val="21"/>
                <w:szCs w:val="21"/>
                <w:highlight w:val="none"/>
              </w:rPr>
            </w:pPr>
          </w:p>
        </w:tc>
        <w:tc>
          <w:tcPr>
            <w:tcW w:w="1376" w:type="dxa"/>
            <w:vAlign w:val="center"/>
          </w:tcPr>
          <w:p w14:paraId="26022D3C">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餐厅各项管理制度及日常管理资料</w:t>
            </w:r>
          </w:p>
        </w:tc>
        <w:tc>
          <w:tcPr>
            <w:tcW w:w="934" w:type="dxa"/>
            <w:vAlign w:val="center"/>
          </w:tcPr>
          <w:p w14:paraId="26CDC6FE">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17</w:t>
            </w:r>
          </w:p>
        </w:tc>
        <w:tc>
          <w:tcPr>
            <w:tcW w:w="5431" w:type="dxa"/>
          </w:tcPr>
          <w:p w14:paraId="480DC008">
            <w:pPr>
              <w:widowControl/>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原材料采购管理。2.库房管理体系。3.食品质量控制方案，食材溯源：提供供货渠道，供应商名单、检测报告等。4.服务质量控制方案。5.卫生管理方案。6.厨房设备的使用、维修管理制度和方案。7.消防、安全及意外情况处理方案。8.节能方案和环保措施。9.投诉处理方案（包括处罚方式等内容）。10.防火防盗应急处置预案。11.防食物中毒应急处置预案。12.人员疏散应急处置预案。13.油烟管道等设施清洗计划。14.隔油池等设备设施管理使用及清掏方案。15.排风机、空调等设备设施使用及维护方案。16.食品留样、消毒、卫生检疫、卫生管理计划及方案。17.水、电、燃气使用记录。</w:t>
            </w:r>
          </w:p>
          <w:p w14:paraId="0CF47F9C">
            <w:pPr>
              <w:widowControl/>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en-US" w:eastAsia="zh-CN"/>
              </w:rPr>
              <w:t>每提供一项方案得1分，未提供或提供内容不符合要求的得0分。总计17分。</w:t>
            </w:r>
          </w:p>
        </w:tc>
      </w:tr>
      <w:tr w14:paraId="1959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2482EFB1">
            <w:pPr>
              <w:spacing w:line="360" w:lineRule="auto"/>
              <w:jc w:val="center"/>
              <w:rPr>
                <w:rFonts w:hint="eastAsia" w:ascii="宋体" w:hAnsi="宋体" w:eastAsia="宋体" w:cs="宋体"/>
                <w:sz w:val="21"/>
                <w:szCs w:val="21"/>
                <w:highlight w:val="none"/>
                <w:lang w:val="en-US" w:eastAsia="zh-CN"/>
              </w:rPr>
            </w:pPr>
          </w:p>
        </w:tc>
        <w:tc>
          <w:tcPr>
            <w:tcW w:w="1278" w:type="dxa"/>
            <w:vAlign w:val="center"/>
          </w:tcPr>
          <w:p w14:paraId="355779BA">
            <w:pPr>
              <w:spacing w:line="360" w:lineRule="auto"/>
              <w:jc w:val="center"/>
              <w:rPr>
                <w:rFonts w:hint="eastAsia" w:ascii="宋体" w:hAnsi="宋体" w:eastAsia="宋体" w:cs="宋体"/>
                <w:sz w:val="21"/>
                <w:szCs w:val="21"/>
                <w:highlight w:val="none"/>
              </w:rPr>
            </w:pPr>
          </w:p>
        </w:tc>
        <w:tc>
          <w:tcPr>
            <w:tcW w:w="1376" w:type="dxa"/>
            <w:vAlign w:val="center"/>
          </w:tcPr>
          <w:p w14:paraId="01E95893">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工作流程方案</w:t>
            </w:r>
          </w:p>
        </w:tc>
        <w:tc>
          <w:tcPr>
            <w:tcW w:w="934" w:type="dxa"/>
            <w:vAlign w:val="center"/>
          </w:tcPr>
          <w:p w14:paraId="61613A26">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6分</w:t>
            </w:r>
          </w:p>
        </w:tc>
        <w:tc>
          <w:tcPr>
            <w:tcW w:w="5431" w:type="dxa"/>
          </w:tcPr>
          <w:p w14:paraId="588A4530">
            <w:pPr>
              <w:widowControl/>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方案设计科学量化，完全匹配本项目服务要求，食材采购、洗消、烹饪、出餐等核心流程时间节点清晰可控，各环节操作标准明确；进度保障措施（如高峰期人员补位、设备备用方案）全面得当，人员分工（如厨师、洗消员职责）科学精准，完全满足本项目要求，得6分；</w:t>
            </w:r>
          </w:p>
          <w:p w14:paraId="0EA1972F">
            <w:pPr>
              <w:widowControl/>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方案较为合理可控，基本贴合本项目需求；核心流程时间节点明确，关键操作标准清晰；各环节均具备进度保障措施，人员分工安排较合理，无明显职责重叠或空缺，基本满足本项目要求，得4分；</w:t>
            </w:r>
          </w:p>
          <w:p w14:paraId="1399D958">
            <w:pPr>
              <w:widowControl/>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方案基本合理，食材处理、烹饪等重要阶段时间节点基本明确；有基础的进度保障措施（如简单的人员排班）和各阶段人员分工安排，虽存在细节疏漏，但整体可满足项目基本需求，得2分；</w:t>
            </w:r>
          </w:p>
          <w:p w14:paraId="4B8569F7">
            <w:pPr>
              <w:widowControl/>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未提供工作流程方案不得分。</w:t>
            </w:r>
          </w:p>
        </w:tc>
      </w:tr>
    </w:tbl>
    <w:p w14:paraId="3A7C85CD">
      <w:pPr>
        <w:pStyle w:val="15"/>
        <w:rPr>
          <w:rFonts w:hint="eastAsia" w:ascii="宋体" w:hAnsi="宋体" w:eastAsia="宋体" w:cs="宋体"/>
          <w:highlight w:val="none"/>
        </w:rPr>
      </w:pPr>
    </w:p>
    <w:sectPr>
      <w:headerReference r:id="rId6" w:type="default"/>
      <w:pgSz w:w="11906" w:h="16838"/>
      <w:pgMar w:top="851" w:right="1134" w:bottom="851"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简楷体">
    <w:altName w:val="宋体"/>
    <w:panose1 w:val="00000000000000000000"/>
    <w:charset w:val="86"/>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42A20">
    <w:pPr>
      <w:pStyle w:val="22"/>
      <w:jc w:val="center"/>
    </w:pPr>
    <w:r>
      <w:fldChar w:fldCharType="begin"/>
    </w:r>
    <w:r>
      <w:rPr>
        <w:rStyle w:val="36"/>
      </w:rPr>
      <w:instrText xml:space="preserve"> PAGE </w:instrText>
    </w:r>
    <w:r>
      <w:fldChar w:fldCharType="separate"/>
    </w:r>
    <w:r>
      <w:rPr>
        <w:rStyle w:val="36"/>
      </w:rPr>
      <w:t>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0583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6BD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9DE3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B31CA5"/>
    <w:multiLevelType w:val="singleLevel"/>
    <w:tmpl w:val="C6B31CA5"/>
    <w:lvl w:ilvl="0" w:tentative="0">
      <w:start w:val="7"/>
      <w:numFmt w:val="decimal"/>
      <w:suff w:val="nothing"/>
      <w:lvlText w:val="（%1）"/>
      <w:lvlJc w:val="left"/>
    </w:lvl>
  </w:abstractNum>
  <w:abstractNum w:abstractNumId="1">
    <w:nsid w:val="00000002"/>
    <w:multiLevelType w:val="multilevel"/>
    <w:tmpl w:val="00000002"/>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
    <w:nsid w:val="00000005"/>
    <w:multiLevelType w:val="multilevel"/>
    <w:tmpl w:val="00000005"/>
    <w:lvl w:ilvl="0" w:tentative="0">
      <w:start w:val="1"/>
      <w:numFmt w:val="decimal"/>
      <w:lvlText w:val="%1)"/>
      <w:lvlJc w:val="left"/>
      <w:pPr>
        <w:tabs>
          <w:tab w:val="left" w:pos="900"/>
        </w:tabs>
        <w:ind w:left="900" w:hanging="420"/>
      </w:pPr>
    </w:lvl>
    <w:lvl w:ilvl="1" w:tentative="0">
      <w:start w:val="4"/>
      <w:numFmt w:val="japaneseCounting"/>
      <w:lvlText w:val="第%2章"/>
      <w:lvlJc w:val="left"/>
      <w:pPr>
        <w:tabs>
          <w:tab w:val="left" w:pos="2340"/>
        </w:tabs>
        <w:ind w:left="2340" w:hanging="144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0000006"/>
    <w:multiLevelType w:val="singleLevel"/>
    <w:tmpl w:val="00000006"/>
    <w:lvl w:ilvl="0" w:tentative="0">
      <w:start w:val="1"/>
      <w:numFmt w:val="japaneseCounting"/>
      <w:lvlText w:val="第%1章"/>
      <w:lvlJc w:val="left"/>
      <w:pPr>
        <w:tabs>
          <w:tab w:val="left" w:pos="1065"/>
        </w:tabs>
        <w:ind w:left="1065" w:hanging="165"/>
      </w:pPr>
      <w:rPr>
        <w:rFonts w:ascii="Times New Roman" w:hAnsi="Times New Roman" w:eastAsia="宋体" w:cs="Times New Roman"/>
      </w:rPr>
    </w:lvl>
  </w:abstractNum>
  <w:abstractNum w:abstractNumId="4">
    <w:nsid w:val="00000009"/>
    <w:multiLevelType w:val="multilevel"/>
    <w:tmpl w:val="00000009"/>
    <w:lvl w:ilvl="0" w:tentative="0">
      <w:start w:val="13"/>
      <w:numFmt w:val="decimal"/>
      <w:lvlText w:val="%1"/>
      <w:lvlJc w:val="left"/>
      <w:pPr>
        <w:tabs>
          <w:tab w:val="left" w:pos="420"/>
        </w:tabs>
        <w:ind w:left="420" w:hanging="420"/>
      </w:pPr>
      <w:rPr>
        <w:rFonts w:hint="default"/>
      </w:rPr>
    </w:lvl>
    <w:lvl w:ilvl="1" w:tentative="0">
      <w:start w:val="1"/>
      <w:numFmt w:val="decimal"/>
      <w:lvlText w:val="%1.%2"/>
      <w:lvlJc w:val="left"/>
      <w:pPr>
        <w:tabs>
          <w:tab w:val="left" w:pos="420"/>
        </w:tabs>
        <w:ind w:left="420" w:hanging="4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0000000A"/>
    <w:multiLevelType w:val="multilevel"/>
    <w:tmpl w:val="0000000A"/>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0000000C"/>
    <w:multiLevelType w:val="multilevel"/>
    <w:tmpl w:val="0000000C"/>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7">
    <w:nsid w:val="00000014"/>
    <w:multiLevelType w:val="multilevel"/>
    <w:tmpl w:val="00000014"/>
    <w:lvl w:ilvl="0" w:tentative="0">
      <w:start w:val="1"/>
      <w:numFmt w:val="bullet"/>
      <w:lvlText w:val=""/>
      <w:lvlJc w:val="left"/>
      <w:pPr>
        <w:tabs>
          <w:tab w:val="left" w:pos="1044"/>
        </w:tabs>
        <w:ind w:left="1044" w:hanging="420"/>
      </w:pPr>
      <w:rPr>
        <w:rFonts w:hint="default" w:ascii="Wingdings" w:hAnsi="Wingdings"/>
      </w:rPr>
    </w:lvl>
    <w:lvl w:ilvl="1" w:tentative="0">
      <w:start w:val="1"/>
      <w:numFmt w:val="bullet"/>
      <w:lvlText w:val=""/>
      <w:lvlJc w:val="left"/>
      <w:pPr>
        <w:tabs>
          <w:tab w:val="left" w:pos="1464"/>
        </w:tabs>
        <w:ind w:left="1464" w:hanging="420"/>
      </w:pPr>
      <w:rPr>
        <w:rFonts w:hint="default" w:ascii="Wingdings" w:hAnsi="Wingdings"/>
      </w:rPr>
    </w:lvl>
    <w:lvl w:ilvl="2" w:tentative="0">
      <w:start w:val="1"/>
      <w:numFmt w:val="bullet"/>
      <w:lvlText w:val=""/>
      <w:lvlJc w:val="left"/>
      <w:pPr>
        <w:tabs>
          <w:tab w:val="left" w:pos="1884"/>
        </w:tabs>
        <w:ind w:left="1884" w:hanging="420"/>
      </w:pPr>
      <w:rPr>
        <w:rFonts w:hint="default" w:ascii="Wingdings" w:hAnsi="Wingdings"/>
      </w:rPr>
    </w:lvl>
    <w:lvl w:ilvl="3" w:tentative="0">
      <w:start w:val="1"/>
      <w:numFmt w:val="bullet"/>
      <w:lvlText w:val=""/>
      <w:lvlJc w:val="left"/>
      <w:pPr>
        <w:tabs>
          <w:tab w:val="left" w:pos="2304"/>
        </w:tabs>
        <w:ind w:left="2304" w:hanging="420"/>
      </w:pPr>
      <w:rPr>
        <w:rFonts w:hint="default" w:ascii="Wingdings" w:hAnsi="Wingdings"/>
      </w:rPr>
    </w:lvl>
    <w:lvl w:ilvl="4" w:tentative="0">
      <w:start w:val="1"/>
      <w:numFmt w:val="bullet"/>
      <w:lvlText w:val=""/>
      <w:lvlJc w:val="left"/>
      <w:pPr>
        <w:tabs>
          <w:tab w:val="left" w:pos="2724"/>
        </w:tabs>
        <w:ind w:left="2724" w:hanging="420"/>
      </w:pPr>
      <w:rPr>
        <w:rFonts w:hint="default" w:ascii="Wingdings" w:hAnsi="Wingdings"/>
      </w:rPr>
    </w:lvl>
    <w:lvl w:ilvl="5" w:tentative="0">
      <w:start w:val="1"/>
      <w:numFmt w:val="bullet"/>
      <w:lvlText w:val=""/>
      <w:lvlJc w:val="left"/>
      <w:pPr>
        <w:tabs>
          <w:tab w:val="left" w:pos="3144"/>
        </w:tabs>
        <w:ind w:left="3144" w:hanging="420"/>
      </w:pPr>
      <w:rPr>
        <w:rFonts w:hint="default" w:ascii="Wingdings" w:hAnsi="Wingdings"/>
      </w:rPr>
    </w:lvl>
    <w:lvl w:ilvl="6" w:tentative="0">
      <w:start w:val="1"/>
      <w:numFmt w:val="bullet"/>
      <w:lvlText w:val=""/>
      <w:lvlJc w:val="left"/>
      <w:pPr>
        <w:tabs>
          <w:tab w:val="left" w:pos="3564"/>
        </w:tabs>
        <w:ind w:left="3564" w:hanging="420"/>
      </w:pPr>
      <w:rPr>
        <w:rFonts w:hint="default" w:ascii="Wingdings" w:hAnsi="Wingdings"/>
      </w:rPr>
    </w:lvl>
    <w:lvl w:ilvl="7" w:tentative="0">
      <w:start w:val="1"/>
      <w:numFmt w:val="bullet"/>
      <w:lvlText w:val=""/>
      <w:lvlJc w:val="left"/>
      <w:pPr>
        <w:tabs>
          <w:tab w:val="left" w:pos="3984"/>
        </w:tabs>
        <w:ind w:left="3984" w:hanging="420"/>
      </w:pPr>
      <w:rPr>
        <w:rFonts w:hint="default" w:ascii="Wingdings" w:hAnsi="Wingdings"/>
      </w:rPr>
    </w:lvl>
    <w:lvl w:ilvl="8" w:tentative="0">
      <w:start w:val="1"/>
      <w:numFmt w:val="bullet"/>
      <w:lvlText w:val=""/>
      <w:lvlJc w:val="left"/>
      <w:pPr>
        <w:tabs>
          <w:tab w:val="left" w:pos="4404"/>
        </w:tabs>
        <w:ind w:left="4404" w:hanging="420"/>
      </w:pPr>
      <w:rPr>
        <w:rFonts w:hint="default" w:ascii="Wingdings" w:hAnsi="Wingdings"/>
      </w:rPr>
    </w:lvl>
  </w:abstractNum>
  <w:abstractNum w:abstractNumId="8">
    <w:nsid w:val="135C728C"/>
    <w:multiLevelType w:val="singleLevel"/>
    <w:tmpl w:val="135C728C"/>
    <w:lvl w:ilvl="0" w:tentative="0">
      <w:start w:val="8"/>
      <w:numFmt w:val="chineseCounting"/>
      <w:suff w:val="space"/>
      <w:lvlText w:val="第%1条"/>
      <w:lvlJc w:val="left"/>
      <w:rPr>
        <w:rFonts w:hint="eastAsia"/>
      </w:rPr>
    </w:lvl>
  </w:abstractNum>
  <w:abstractNum w:abstractNumId="9">
    <w:nsid w:val="1B0E2045"/>
    <w:multiLevelType w:val="multilevel"/>
    <w:tmpl w:val="1B0E2045"/>
    <w:lvl w:ilvl="0" w:tentative="0">
      <w:start w:val="10"/>
      <w:numFmt w:val="decimal"/>
      <w:lvlText w:val="%1．"/>
      <w:lvlJc w:val="left"/>
      <w:pPr>
        <w:ind w:left="495" w:hanging="4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1613843"/>
    <w:multiLevelType w:val="multilevel"/>
    <w:tmpl w:val="21613843"/>
    <w:lvl w:ilvl="0" w:tentative="0">
      <w:start w:val="4"/>
      <w:numFmt w:val="japaneseCounting"/>
      <w:lvlText w:val="第%1章、"/>
      <w:lvlJc w:val="left"/>
      <w:pPr>
        <w:ind w:left="1860" w:hanging="18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EAE62AE"/>
    <w:multiLevelType w:val="singleLevel"/>
    <w:tmpl w:val="3EAE62AE"/>
    <w:lvl w:ilvl="0" w:tentative="0">
      <w:start w:val="1"/>
      <w:numFmt w:val="chineseCounting"/>
      <w:suff w:val="nothing"/>
      <w:lvlText w:val="%1、"/>
      <w:lvlJc w:val="left"/>
      <w:rPr>
        <w:rFonts w:hint="eastAsia"/>
      </w:rPr>
    </w:lvl>
  </w:abstractNum>
  <w:abstractNum w:abstractNumId="12">
    <w:nsid w:val="595A4CE5"/>
    <w:multiLevelType w:val="singleLevel"/>
    <w:tmpl w:val="595A4CE5"/>
    <w:lvl w:ilvl="0" w:tentative="0">
      <w:start w:val="1"/>
      <w:numFmt w:val="decimal"/>
      <w:suff w:val="nothing"/>
      <w:lvlText w:val="%1、"/>
      <w:lvlJc w:val="left"/>
    </w:lvl>
  </w:abstractNum>
  <w:abstractNum w:abstractNumId="13">
    <w:nsid w:val="5A33AD53"/>
    <w:multiLevelType w:val="singleLevel"/>
    <w:tmpl w:val="5A33AD53"/>
    <w:lvl w:ilvl="0" w:tentative="0">
      <w:start w:val="7"/>
      <w:numFmt w:val="chineseCounting"/>
      <w:suff w:val="nothing"/>
      <w:lvlText w:val="%1、"/>
      <w:lvlJc w:val="left"/>
      <w:rPr>
        <w:rFonts w:hint="eastAsia"/>
      </w:rPr>
    </w:lvl>
  </w:abstractNum>
  <w:abstractNum w:abstractNumId="14">
    <w:nsid w:val="7D8810DB"/>
    <w:multiLevelType w:val="multilevel"/>
    <w:tmpl w:val="7D8810DB"/>
    <w:lvl w:ilvl="0" w:tentative="0">
      <w:start w:val="26"/>
      <w:numFmt w:val="decimal"/>
      <w:lvlText w:val="%1．"/>
      <w:lvlJc w:val="left"/>
      <w:pPr>
        <w:ind w:left="495" w:hanging="4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2"/>
  </w:num>
  <w:num w:numId="2">
    <w:abstractNumId w:val="1"/>
  </w:num>
  <w:num w:numId="3">
    <w:abstractNumId w:val="6"/>
  </w:num>
  <w:num w:numId="4">
    <w:abstractNumId w:val="3"/>
  </w:num>
  <w:num w:numId="5">
    <w:abstractNumId w:val="9"/>
  </w:num>
  <w:num w:numId="6">
    <w:abstractNumId w:val="4"/>
  </w:num>
  <w:num w:numId="7">
    <w:abstractNumId w:val="7"/>
  </w:num>
  <w:num w:numId="8">
    <w:abstractNumId w:val="2"/>
  </w:num>
  <w:num w:numId="9">
    <w:abstractNumId w:val="5"/>
  </w:num>
  <w:num w:numId="10">
    <w:abstractNumId w:val="14"/>
  </w:num>
  <w:num w:numId="11">
    <w:abstractNumId w:val="0"/>
  </w:num>
  <w:num w:numId="12">
    <w:abstractNumId w:val="8"/>
  </w:num>
  <w:num w:numId="13">
    <w:abstractNumId w:val="10"/>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iZDQwZjE4ZGQyYWViNDJjZDEyZDE1MDIyNTQzMWIifQ=="/>
  </w:docVars>
  <w:rsids>
    <w:rsidRoot w:val="00172A27"/>
    <w:rsid w:val="00000858"/>
    <w:rsid w:val="00000D10"/>
    <w:rsid w:val="000024FD"/>
    <w:rsid w:val="00003657"/>
    <w:rsid w:val="00007B86"/>
    <w:rsid w:val="000157E6"/>
    <w:rsid w:val="0002726B"/>
    <w:rsid w:val="000272F4"/>
    <w:rsid w:val="000323ED"/>
    <w:rsid w:val="000350C9"/>
    <w:rsid w:val="00040146"/>
    <w:rsid w:val="00042944"/>
    <w:rsid w:val="0004600E"/>
    <w:rsid w:val="00046CDF"/>
    <w:rsid w:val="00054C0A"/>
    <w:rsid w:val="00055551"/>
    <w:rsid w:val="00064CA1"/>
    <w:rsid w:val="00065998"/>
    <w:rsid w:val="00067D3C"/>
    <w:rsid w:val="00070130"/>
    <w:rsid w:val="0007401E"/>
    <w:rsid w:val="00076CAF"/>
    <w:rsid w:val="000851EB"/>
    <w:rsid w:val="000867D0"/>
    <w:rsid w:val="0009480F"/>
    <w:rsid w:val="0009569F"/>
    <w:rsid w:val="00096D5A"/>
    <w:rsid w:val="00097F7E"/>
    <w:rsid w:val="000A09C1"/>
    <w:rsid w:val="000A13D8"/>
    <w:rsid w:val="000A194B"/>
    <w:rsid w:val="000A66C7"/>
    <w:rsid w:val="000B2C2D"/>
    <w:rsid w:val="000B7EA6"/>
    <w:rsid w:val="000C36D8"/>
    <w:rsid w:val="000C5FFB"/>
    <w:rsid w:val="000C7490"/>
    <w:rsid w:val="000D2D68"/>
    <w:rsid w:val="000D3FC5"/>
    <w:rsid w:val="000D4295"/>
    <w:rsid w:val="000E1C35"/>
    <w:rsid w:val="000E271A"/>
    <w:rsid w:val="000E3243"/>
    <w:rsid w:val="000E4569"/>
    <w:rsid w:val="000F192F"/>
    <w:rsid w:val="000F193A"/>
    <w:rsid w:val="000F2310"/>
    <w:rsid w:val="000F3F0A"/>
    <w:rsid w:val="000F4298"/>
    <w:rsid w:val="000F5BE7"/>
    <w:rsid w:val="000F73AB"/>
    <w:rsid w:val="00105DC5"/>
    <w:rsid w:val="001066EF"/>
    <w:rsid w:val="00113ECF"/>
    <w:rsid w:val="00114025"/>
    <w:rsid w:val="00114492"/>
    <w:rsid w:val="00117AF7"/>
    <w:rsid w:val="0012286F"/>
    <w:rsid w:val="0012341F"/>
    <w:rsid w:val="00123F3D"/>
    <w:rsid w:val="0012669D"/>
    <w:rsid w:val="00127160"/>
    <w:rsid w:val="0012731B"/>
    <w:rsid w:val="00132714"/>
    <w:rsid w:val="00141B54"/>
    <w:rsid w:val="00143A2B"/>
    <w:rsid w:val="00143ED2"/>
    <w:rsid w:val="001455E0"/>
    <w:rsid w:val="001536DB"/>
    <w:rsid w:val="00154290"/>
    <w:rsid w:val="00155F70"/>
    <w:rsid w:val="00157A8D"/>
    <w:rsid w:val="00165414"/>
    <w:rsid w:val="001657D2"/>
    <w:rsid w:val="0016743B"/>
    <w:rsid w:val="00167BB9"/>
    <w:rsid w:val="00172A27"/>
    <w:rsid w:val="00172D76"/>
    <w:rsid w:val="0018105A"/>
    <w:rsid w:val="00181492"/>
    <w:rsid w:val="00182F96"/>
    <w:rsid w:val="00187880"/>
    <w:rsid w:val="00193E1D"/>
    <w:rsid w:val="00194B8A"/>
    <w:rsid w:val="0019625F"/>
    <w:rsid w:val="00196726"/>
    <w:rsid w:val="001A1466"/>
    <w:rsid w:val="001A403F"/>
    <w:rsid w:val="001B19F5"/>
    <w:rsid w:val="001B4708"/>
    <w:rsid w:val="001B7B00"/>
    <w:rsid w:val="001B7FB9"/>
    <w:rsid w:val="001C271C"/>
    <w:rsid w:val="001D2701"/>
    <w:rsid w:val="001D73B6"/>
    <w:rsid w:val="001E01AE"/>
    <w:rsid w:val="001E4DA1"/>
    <w:rsid w:val="001E6936"/>
    <w:rsid w:val="001E7A44"/>
    <w:rsid w:val="001F0385"/>
    <w:rsid w:val="001F057B"/>
    <w:rsid w:val="001F5E57"/>
    <w:rsid w:val="002014D7"/>
    <w:rsid w:val="00201E49"/>
    <w:rsid w:val="0020251C"/>
    <w:rsid w:val="002037B8"/>
    <w:rsid w:val="00203BC7"/>
    <w:rsid w:val="00203BE8"/>
    <w:rsid w:val="00204511"/>
    <w:rsid w:val="0020489D"/>
    <w:rsid w:val="00206114"/>
    <w:rsid w:val="00210732"/>
    <w:rsid w:val="00216110"/>
    <w:rsid w:val="0022633A"/>
    <w:rsid w:val="00227721"/>
    <w:rsid w:val="00240C94"/>
    <w:rsid w:val="002413D9"/>
    <w:rsid w:val="002439A9"/>
    <w:rsid w:val="002468F6"/>
    <w:rsid w:val="002509DD"/>
    <w:rsid w:val="0025225B"/>
    <w:rsid w:val="00252636"/>
    <w:rsid w:val="002565E3"/>
    <w:rsid w:val="0025710B"/>
    <w:rsid w:val="002609F0"/>
    <w:rsid w:val="00261A77"/>
    <w:rsid w:val="002626CD"/>
    <w:rsid w:val="0026516F"/>
    <w:rsid w:val="0026686B"/>
    <w:rsid w:val="0027028E"/>
    <w:rsid w:val="00270DAD"/>
    <w:rsid w:val="00274576"/>
    <w:rsid w:val="00274D7C"/>
    <w:rsid w:val="002844E6"/>
    <w:rsid w:val="0029102B"/>
    <w:rsid w:val="00297EBB"/>
    <w:rsid w:val="002A00FF"/>
    <w:rsid w:val="002A4286"/>
    <w:rsid w:val="002A783D"/>
    <w:rsid w:val="002B1558"/>
    <w:rsid w:val="002B15C9"/>
    <w:rsid w:val="002B76D0"/>
    <w:rsid w:val="002C1A89"/>
    <w:rsid w:val="002C1C6E"/>
    <w:rsid w:val="002C3353"/>
    <w:rsid w:val="002C4ADA"/>
    <w:rsid w:val="002C70EC"/>
    <w:rsid w:val="002D0116"/>
    <w:rsid w:val="002D2A6E"/>
    <w:rsid w:val="002D3A26"/>
    <w:rsid w:val="002E0824"/>
    <w:rsid w:val="002E45AF"/>
    <w:rsid w:val="002E4AE1"/>
    <w:rsid w:val="002F07C7"/>
    <w:rsid w:val="002F20A5"/>
    <w:rsid w:val="002F50E7"/>
    <w:rsid w:val="002F6429"/>
    <w:rsid w:val="0030285C"/>
    <w:rsid w:val="00302AD5"/>
    <w:rsid w:val="00302B14"/>
    <w:rsid w:val="00302BC4"/>
    <w:rsid w:val="003110DB"/>
    <w:rsid w:val="003141E4"/>
    <w:rsid w:val="00316DD3"/>
    <w:rsid w:val="00317A6F"/>
    <w:rsid w:val="00321110"/>
    <w:rsid w:val="003226E0"/>
    <w:rsid w:val="00324A22"/>
    <w:rsid w:val="0032557A"/>
    <w:rsid w:val="00325BED"/>
    <w:rsid w:val="0032622F"/>
    <w:rsid w:val="00326BEC"/>
    <w:rsid w:val="00332E76"/>
    <w:rsid w:val="00335AA9"/>
    <w:rsid w:val="00335CD0"/>
    <w:rsid w:val="00340D10"/>
    <w:rsid w:val="00347087"/>
    <w:rsid w:val="00353CE7"/>
    <w:rsid w:val="00361573"/>
    <w:rsid w:val="00362591"/>
    <w:rsid w:val="00367A14"/>
    <w:rsid w:val="003720F3"/>
    <w:rsid w:val="00372B28"/>
    <w:rsid w:val="00374838"/>
    <w:rsid w:val="00375C9D"/>
    <w:rsid w:val="00375D6D"/>
    <w:rsid w:val="00381D23"/>
    <w:rsid w:val="003861BA"/>
    <w:rsid w:val="003900E0"/>
    <w:rsid w:val="00390E0E"/>
    <w:rsid w:val="00392337"/>
    <w:rsid w:val="003927B1"/>
    <w:rsid w:val="00393D2D"/>
    <w:rsid w:val="003959F8"/>
    <w:rsid w:val="0039757C"/>
    <w:rsid w:val="00397661"/>
    <w:rsid w:val="003A114C"/>
    <w:rsid w:val="003A133B"/>
    <w:rsid w:val="003A2332"/>
    <w:rsid w:val="003A356A"/>
    <w:rsid w:val="003A5068"/>
    <w:rsid w:val="003B1199"/>
    <w:rsid w:val="003B1C48"/>
    <w:rsid w:val="003B5038"/>
    <w:rsid w:val="003B78DA"/>
    <w:rsid w:val="003C178B"/>
    <w:rsid w:val="003C5894"/>
    <w:rsid w:val="003C6F28"/>
    <w:rsid w:val="003D1CAA"/>
    <w:rsid w:val="003D3525"/>
    <w:rsid w:val="003D3E87"/>
    <w:rsid w:val="003D4E1A"/>
    <w:rsid w:val="003D7AC3"/>
    <w:rsid w:val="003E479E"/>
    <w:rsid w:val="003E54AC"/>
    <w:rsid w:val="003E55CF"/>
    <w:rsid w:val="003E5806"/>
    <w:rsid w:val="00400156"/>
    <w:rsid w:val="00405819"/>
    <w:rsid w:val="00405E5E"/>
    <w:rsid w:val="00405F23"/>
    <w:rsid w:val="004069D0"/>
    <w:rsid w:val="0041035D"/>
    <w:rsid w:val="00410D0D"/>
    <w:rsid w:val="004110DA"/>
    <w:rsid w:val="00411AC1"/>
    <w:rsid w:val="004142E0"/>
    <w:rsid w:val="00421A62"/>
    <w:rsid w:val="00423A2B"/>
    <w:rsid w:val="00423CCA"/>
    <w:rsid w:val="00424184"/>
    <w:rsid w:val="00424F60"/>
    <w:rsid w:val="00425AB3"/>
    <w:rsid w:val="00430451"/>
    <w:rsid w:val="00430A2F"/>
    <w:rsid w:val="00430B0D"/>
    <w:rsid w:val="00443E2A"/>
    <w:rsid w:val="00455150"/>
    <w:rsid w:val="00456062"/>
    <w:rsid w:val="004563EE"/>
    <w:rsid w:val="00463106"/>
    <w:rsid w:val="004674F5"/>
    <w:rsid w:val="00467EBA"/>
    <w:rsid w:val="00470701"/>
    <w:rsid w:val="004709B5"/>
    <w:rsid w:val="00474BDB"/>
    <w:rsid w:val="00474E94"/>
    <w:rsid w:val="00477016"/>
    <w:rsid w:val="00480B9D"/>
    <w:rsid w:val="004825FB"/>
    <w:rsid w:val="004826CB"/>
    <w:rsid w:val="0048305C"/>
    <w:rsid w:val="00486D92"/>
    <w:rsid w:val="004914D1"/>
    <w:rsid w:val="00492BA9"/>
    <w:rsid w:val="004977DE"/>
    <w:rsid w:val="00497BC1"/>
    <w:rsid w:val="004A05FC"/>
    <w:rsid w:val="004A5547"/>
    <w:rsid w:val="004A7682"/>
    <w:rsid w:val="004B24F6"/>
    <w:rsid w:val="004B3DE3"/>
    <w:rsid w:val="004B4D97"/>
    <w:rsid w:val="004B5090"/>
    <w:rsid w:val="004B67CC"/>
    <w:rsid w:val="004B6A96"/>
    <w:rsid w:val="004C1504"/>
    <w:rsid w:val="004C5D93"/>
    <w:rsid w:val="004C632A"/>
    <w:rsid w:val="004D1AF5"/>
    <w:rsid w:val="004D6E2D"/>
    <w:rsid w:val="004E093D"/>
    <w:rsid w:val="004E1FA1"/>
    <w:rsid w:val="004E511E"/>
    <w:rsid w:val="004E6EB2"/>
    <w:rsid w:val="004F154B"/>
    <w:rsid w:val="004F20CD"/>
    <w:rsid w:val="004F6F89"/>
    <w:rsid w:val="005021BE"/>
    <w:rsid w:val="00505133"/>
    <w:rsid w:val="005051A3"/>
    <w:rsid w:val="00505E3D"/>
    <w:rsid w:val="0051213E"/>
    <w:rsid w:val="005132DD"/>
    <w:rsid w:val="0051682C"/>
    <w:rsid w:val="0052469E"/>
    <w:rsid w:val="005330CD"/>
    <w:rsid w:val="0053397D"/>
    <w:rsid w:val="0053534A"/>
    <w:rsid w:val="005401EA"/>
    <w:rsid w:val="00541ED9"/>
    <w:rsid w:val="00545759"/>
    <w:rsid w:val="00545764"/>
    <w:rsid w:val="00546F1A"/>
    <w:rsid w:val="00550057"/>
    <w:rsid w:val="00551657"/>
    <w:rsid w:val="005538BF"/>
    <w:rsid w:val="005544D3"/>
    <w:rsid w:val="00555F85"/>
    <w:rsid w:val="00556FC4"/>
    <w:rsid w:val="0056010C"/>
    <w:rsid w:val="005622BD"/>
    <w:rsid w:val="00562498"/>
    <w:rsid w:val="00562635"/>
    <w:rsid w:val="0056340B"/>
    <w:rsid w:val="00566C47"/>
    <w:rsid w:val="00572D2B"/>
    <w:rsid w:val="005741C0"/>
    <w:rsid w:val="00574CB5"/>
    <w:rsid w:val="00575736"/>
    <w:rsid w:val="00576F61"/>
    <w:rsid w:val="005771B4"/>
    <w:rsid w:val="00577922"/>
    <w:rsid w:val="00580CA5"/>
    <w:rsid w:val="00581A74"/>
    <w:rsid w:val="00583CAC"/>
    <w:rsid w:val="005848CF"/>
    <w:rsid w:val="005865E0"/>
    <w:rsid w:val="00586DA9"/>
    <w:rsid w:val="005871B2"/>
    <w:rsid w:val="00587529"/>
    <w:rsid w:val="00587AD0"/>
    <w:rsid w:val="00590F34"/>
    <w:rsid w:val="0059487F"/>
    <w:rsid w:val="00594AD0"/>
    <w:rsid w:val="00595318"/>
    <w:rsid w:val="005960DA"/>
    <w:rsid w:val="00597411"/>
    <w:rsid w:val="005A0970"/>
    <w:rsid w:val="005A664B"/>
    <w:rsid w:val="005A6C4C"/>
    <w:rsid w:val="005B2BD4"/>
    <w:rsid w:val="005B7004"/>
    <w:rsid w:val="005C1FEE"/>
    <w:rsid w:val="005C31F2"/>
    <w:rsid w:val="005D163C"/>
    <w:rsid w:val="005E0578"/>
    <w:rsid w:val="005E26DB"/>
    <w:rsid w:val="005E2F78"/>
    <w:rsid w:val="005E3377"/>
    <w:rsid w:val="005F1224"/>
    <w:rsid w:val="005F18EB"/>
    <w:rsid w:val="005F2659"/>
    <w:rsid w:val="005F28CB"/>
    <w:rsid w:val="005F29C2"/>
    <w:rsid w:val="005F3899"/>
    <w:rsid w:val="005F3971"/>
    <w:rsid w:val="005F4048"/>
    <w:rsid w:val="005F40EC"/>
    <w:rsid w:val="005F47EC"/>
    <w:rsid w:val="005F653A"/>
    <w:rsid w:val="00602483"/>
    <w:rsid w:val="00603C56"/>
    <w:rsid w:val="00604A76"/>
    <w:rsid w:val="00607AAE"/>
    <w:rsid w:val="006129C7"/>
    <w:rsid w:val="0061397F"/>
    <w:rsid w:val="006156C7"/>
    <w:rsid w:val="006203BC"/>
    <w:rsid w:val="006258CB"/>
    <w:rsid w:val="00625C7C"/>
    <w:rsid w:val="00630BF1"/>
    <w:rsid w:val="00631513"/>
    <w:rsid w:val="00635BA9"/>
    <w:rsid w:val="00636059"/>
    <w:rsid w:val="00637554"/>
    <w:rsid w:val="00640340"/>
    <w:rsid w:val="00641020"/>
    <w:rsid w:val="0064192C"/>
    <w:rsid w:val="00641CD0"/>
    <w:rsid w:val="00650F77"/>
    <w:rsid w:val="00653DBA"/>
    <w:rsid w:val="006571D7"/>
    <w:rsid w:val="006572B5"/>
    <w:rsid w:val="00663A33"/>
    <w:rsid w:val="0067135D"/>
    <w:rsid w:val="006721CA"/>
    <w:rsid w:val="00673F19"/>
    <w:rsid w:val="00674FDF"/>
    <w:rsid w:val="00677D15"/>
    <w:rsid w:val="00687618"/>
    <w:rsid w:val="006913BC"/>
    <w:rsid w:val="00694440"/>
    <w:rsid w:val="00694D5A"/>
    <w:rsid w:val="006A21AD"/>
    <w:rsid w:val="006A2FC8"/>
    <w:rsid w:val="006A53E8"/>
    <w:rsid w:val="006B1286"/>
    <w:rsid w:val="006B341C"/>
    <w:rsid w:val="006B6795"/>
    <w:rsid w:val="006C1C20"/>
    <w:rsid w:val="006C461F"/>
    <w:rsid w:val="006C6A4A"/>
    <w:rsid w:val="006D247A"/>
    <w:rsid w:val="006D7BDA"/>
    <w:rsid w:val="006E346D"/>
    <w:rsid w:val="006E3A13"/>
    <w:rsid w:val="006E681C"/>
    <w:rsid w:val="006E6C20"/>
    <w:rsid w:val="006F55CF"/>
    <w:rsid w:val="006F651B"/>
    <w:rsid w:val="006F7B9E"/>
    <w:rsid w:val="00700F06"/>
    <w:rsid w:val="00703CFF"/>
    <w:rsid w:val="00704F74"/>
    <w:rsid w:val="007071EF"/>
    <w:rsid w:val="00707924"/>
    <w:rsid w:val="0071162A"/>
    <w:rsid w:val="0071219D"/>
    <w:rsid w:val="00714229"/>
    <w:rsid w:val="00715D0B"/>
    <w:rsid w:val="00716862"/>
    <w:rsid w:val="00716B13"/>
    <w:rsid w:val="0072008C"/>
    <w:rsid w:val="007228DE"/>
    <w:rsid w:val="0072547F"/>
    <w:rsid w:val="007265FF"/>
    <w:rsid w:val="00730434"/>
    <w:rsid w:val="00731170"/>
    <w:rsid w:val="00734438"/>
    <w:rsid w:val="00735946"/>
    <w:rsid w:val="00740AD3"/>
    <w:rsid w:val="0074719F"/>
    <w:rsid w:val="00752176"/>
    <w:rsid w:val="00754402"/>
    <w:rsid w:val="007573D2"/>
    <w:rsid w:val="007575AA"/>
    <w:rsid w:val="00763C19"/>
    <w:rsid w:val="007645F9"/>
    <w:rsid w:val="00775C3F"/>
    <w:rsid w:val="0077623B"/>
    <w:rsid w:val="0077689B"/>
    <w:rsid w:val="00782DD9"/>
    <w:rsid w:val="00785F64"/>
    <w:rsid w:val="00787A94"/>
    <w:rsid w:val="00787F24"/>
    <w:rsid w:val="00791B91"/>
    <w:rsid w:val="0079324E"/>
    <w:rsid w:val="00796FC7"/>
    <w:rsid w:val="007A06A4"/>
    <w:rsid w:val="007B7723"/>
    <w:rsid w:val="007C11A1"/>
    <w:rsid w:val="007C28F6"/>
    <w:rsid w:val="007C2CD8"/>
    <w:rsid w:val="007C2DE2"/>
    <w:rsid w:val="007C5DF8"/>
    <w:rsid w:val="007C60B9"/>
    <w:rsid w:val="007D0350"/>
    <w:rsid w:val="007D5786"/>
    <w:rsid w:val="007D5C1A"/>
    <w:rsid w:val="007E2279"/>
    <w:rsid w:val="007E2BC7"/>
    <w:rsid w:val="007E6EF3"/>
    <w:rsid w:val="007F0AC0"/>
    <w:rsid w:val="007F0BF2"/>
    <w:rsid w:val="007F51A0"/>
    <w:rsid w:val="0080083B"/>
    <w:rsid w:val="00803C31"/>
    <w:rsid w:val="00806387"/>
    <w:rsid w:val="008114E1"/>
    <w:rsid w:val="00813646"/>
    <w:rsid w:val="00821796"/>
    <w:rsid w:val="00823C4E"/>
    <w:rsid w:val="008255A3"/>
    <w:rsid w:val="008258BB"/>
    <w:rsid w:val="008264D1"/>
    <w:rsid w:val="0082732E"/>
    <w:rsid w:val="008333C1"/>
    <w:rsid w:val="0083655B"/>
    <w:rsid w:val="00837DE6"/>
    <w:rsid w:val="00863024"/>
    <w:rsid w:val="00867136"/>
    <w:rsid w:val="008714D4"/>
    <w:rsid w:val="008730E7"/>
    <w:rsid w:val="00874743"/>
    <w:rsid w:val="008759F6"/>
    <w:rsid w:val="00883B3F"/>
    <w:rsid w:val="00885FE2"/>
    <w:rsid w:val="0088729F"/>
    <w:rsid w:val="00891477"/>
    <w:rsid w:val="008937D3"/>
    <w:rsid w:val="008A0C32"/>
    <w:rsid w:val="008A6AA4"/>
    <w:rsid w:val="008B3C50"/>
    <w:rsid w:val="008B4856"/>
    <w:rsid w:val="008B5909"/>
    <w:rsid w:val="008B7197"/>
    <w:rsid w:val="008C0114"/>
    <w:rsid w:val="008C0603"/>
    <w:rsid w:val="008C16C3"/>
    <w:rsid w:val="008C1DC3"/>
    <w:rsid w:val="008C644E"/>
    <w:rsid w:val="008D59B8"/>
    <w:rsid w:val="008D7357"/>
    <w:rsid w:val="008D7774"/>
    <w:rsid w:val="008D7F2E"/>
    <w:rsid w:val="008E41D1"/>
    <w:rsid w:val="008E5616"/>
    <w:rsid w:val="008F2BD2"/>
    <w:rsid w:val="008F7E2D"/>
    <w:rsid w:val="00904170"/>
    <w:rsid w:val="00906D76"/>
    <w:rsid w:val="00910C3A"/>
    <w:rsid w:val="00917781"/>
    <w:rsid w:val="0092262E"/>
    <w:rsid w:val="00923B8A"/>
    <w:rsid w:val="00924AB4"/>
    <w:rsid w:val="009260C3"/>
    <w:rsid w:val="009325D7"/>
    <w:rsid w:val="00932988"/>
    <w:rsid w:val="0093644A"/>
    <w:rsid w:val="00944DC3"/>
    <w:rsid w:val="00945A81"/>
    <w:rsid w:val="00945B27"/>
    <w:rsid w:val="009465A7"/>
    <w:rsid w:val="00947E87"/>
    <w:rsid w:val="00956B3E"/>
    <w:rsid w:val="00957CF4"/>
    <w:rsid w:val="0096079A"/>
    <w:rsid w:val="00961CFB"/>
    <w:rsid w:val="00973F85"/>
    <w:rsid w:val="009833AB"/>
    <w:rsid w:val="009850E2"/>
    <w:rsid w:val="00985570"/>
    <w:rsid w:val="009855A4"/>
    <w:rsid w:val="00990155"/>
    <w:rsid w:val="00996EFF"/>
    <w:rsid w:val="009A38B3"/>
    <w:rsid w:val="009A4BD8"/>
    <w:rsid w:val="009A5378"/>
    <w:rsid w:val="009A5984"/>
    <w:rsid w:val="009A69B2"/>
    <w:rsid w:val="009A6C75"/>
    <w:rsid w:val="009A7BEA"/>
    <w:rsid w:val="009C19DD"/>
    <w:rsid w:val="009C2F34"/>
    <w:rsid w:val="009C38AE"/>
    <w:rsid w:val="009C4C0E"/>
    <w:rsid w:val="009C774A"/>
    <w:rsid w:val="009D08A4"/>
    <w:rsid w:val="009D577A"/>
    <w:rsid w:val="009D71EF"/>
    <w:rsid w:val="009D7427"/>
    <w:rsid w:val="009F7E21"/>
    <w:rsid w:val="00A04445"/>
    <w:rsid w:val="00A05947"/>
    <w:rsid w:val="00A061A2"/>
    <w:rsid w:val="00A06633"/>
    <w:rsid w:val="00A16BA1"/>
    <w:rsid w:val="00A17A36"/>
    <w:rsid w:val="00A21D0E"/>
    <w:rsid w:val="00A21DC3"/>
    <w:rsid w:val="00A25832"/>
    <w:rsid w:val="00A30AF1"/>
    <w:rsid w:val="00A328AF"/>
    <w:rsid w:val="00A344F7"/>
    <w:rsid w:val="00A472AF"/>
    <w:rsid w:val="00A57691"/>
    <w:rsid w:val="00A57CF7"/>
    <w:rsid w:val="00A63A6A"/>
    <w:rsid w:val="00A64022"/>
    <w:rsid w:val="00A65A71"/>
    <w:rsid w:val="00A710AF"/>
    <w:rsid w:val="00A71AF9"/>
    <w:rsid w:val="00A729BC"/>
    <w:rsid w:val="00A72D41"/>
    <w:rsid w:val="00A742AB"/>
    <w:rsid w:val="00A82B5F"/>
    <w:rsid w:val="00A84ECF"/>
    <w:rsid w:val="00A859C5"/>
    <w:rsid w:val="00A90D52"/>
    <w:rsid w:val="00A91A54"/>
    <w:rsid w:val="00A947F2"/>
    <w:rsid w:val="00A978D9"/>
    <w:rsid w:val="00AA02E0"/>
    <w:rsid w:val="00AA0FEB"/>
    <w:rsid w:val="00AA1283"/>
    <w:rsid w:val="00AA4425"/>
    <w:rsid w:val="00AB6A86"/>
    <w:rsid w:val="00AC04F2"/>
    <w:rsid w:val="00AC56B1"/>
    <w:rsid w:val="00AC5F1F"/>
    <w:rsid w:val="00AC6653"/>
    <w:rsid w:val="00AC738C"/>
    <w:rsid w:val="00AD4817"/>
    <w:rsid w:val="00AD761D"/>
    <w:rsid w:val="00AD7C0F"/>
    <w:rsid w:val="00AE4619"/>
    <w:rsid w:val="00AE4C93"/>
    <w:rsid w:val="00AE4E44"/>
    <w:rsid w:val="00AE5985"/>
    <w:rsid w:val="00AE7766"/>
    <w:rsid w:val="00AF102D"/>
    <w:rsid w:val="00AF2DBC"/>
    <w:rsid w:val="00AF4BAB"/>
    <w:rsid w:val="00AF4F52"/>
    <w:rsid w:val="00AF71C4"/>
    <w:rsid w:val="00B030F2"/>
    <w:rsid w:val="00B034D2"/>
    <w:rsid w:val="00B03B16"/>
    <w:rsid w:val="00B13127"/>
    <w:rsid w:val="00B159DF"/>
    <w:rsid w:val="00B16A8B"/>
    <w:rsid w:val="00B17CD4"/>
    <w:rsid w:val="00B21961"/>
    <w:rsid w:val="00B2369F"/>
    <w:rsid w:val="00B23C59"/>
    <w:rsid w:val="00B23F0B"/>
    <w:rsid w:val="00B249B9"/>
    <w:rsid w:val="00B25890"/>
    <w:rsid w:val="00B32B8E"/>
    <w:rsid w:val="00B37E1B"/>
    <w:rsid w:val="00B40DD7"/>
    <w:rsid w:val="00B46352"/>
    <w:rsid w:val="00B46E27"/>
    <w:rsid w:val="00B61534"/>
    <w:rsid w:val="00B61788"/>
    <w:rsid w:val="00B630CF"/>
    <w:rsid w:val="00B63278"/>
    <w:rsid w:val="00B638CA"/>
    <w:rsid w:val="00B67539"/>
    <w:rsid w:val="00B71A4F"/>
    <w:rsid w:val="00B7293D"/>
    <w:rsid w:val="00B72E79"/>
    <w:rsid w:val="00B75630"/>
    <w:rsid w:val="00B838DA"/>
    <w:rsid w:val="00B84C8E"/>
    <w:rsid w:val="00B87A31"/>
    <w:rsid w:val="00B87D26"/>
    <w:rsid w:val="00B946BC"/>
    <w:rsid w:val="00B965AC"/>
    <w:rsid w:val="00BA2D05"/>
    <w:rsid w:val="00BA516B"/>
    <w:rsid w:val="00BA6364"/>
    <w:rsid w:val="00BA6D93"/>
    <w:rsid w:val="00BB218A"/>
    <w:rsid w:val="00BB2EAD"/>
    <w:rsid w:val="00BB3AB0"/>
    <w:rsid w:val="00BB636F"/>
    <w:rsid w:val="00BC0D67"/>
    <w:rsid w:val="00BC1117"/>
    <w:rsid w:val="00BD56CB"/>
    <w:rsid w:val="00BD6AD7"/>
    <w:rsid w:val="00BD7753"/>
    <w:rsid w:val="00C003B9"/>
    <w:rsid w:val="00C01F64"/>
    <w:rsid w:val="00C0399C"/>
    <w:rsid w:val="00C11B6E"/>
    <w:rsid w:val="00C1438F"/>
    <w:rsid w:val="00C1447B"/>
    <w:rsid w:val="00C16F1F"/>
    <w:rsid w:val="00C20B8F"/>
    <w:rsid w:val="00C2614D"/>
    <w:rsid w:val="00C302F7"/>
    <w:rsid w:val="00C31625"/>
    <w:rsid w:val="00C33113"/>
    <w:rsid w:val="00C3398F"/>
    <w:rsid w:val="00C34071"/>
    <w:rsid w:val="00C35049"/>
    <w:rsid w:val="00C37296"/>
    <w:rsid w:val="00C508CE"/>
    <w:rsid w:val="00C5126A"/>
    <w:rsid w:val="00C536B7"/>
    <w:rsid w:val="00C5426D"/>
    <w:rsid w:val="00C55931"/>
    <w:rsid w:val="00C62066"/>
    <w:rsid w:val="00C623FE"/>
    <w:rsid w:val="00C63480"/>
    <w:rsid w:val="00C648B9"/>
    <w:rsid w:val="00C64BBE"/>
    <w:rsid w:val="00C64CA9"/>
    <w:rsid w:val="00C67FD9"/>
    <w:rsid w:val="00C70AB1"/>
    <w:rsid w:val="00C7471D"/>
    <w:rsid w:val="00C80B73"/>
    <w:rsid w:val="00C8109B"/>
    <w:rsid w:val="00C8206F"/>
    <w:rsid w:val="00C844C9"/>
    <w:rsid w:val="00C86452"/>
    <w:rsid w:val="00C87DFB"/>
    <w:rsid w:val="00C87E9F"/>
    <w:rsid w:val="00CA09CC"/>
    <w:rsid w:val="00CA1FED"/>
    <w:rsid w:val="00CA2903"/>
    <w:rsid w:val="00CA5FF6"/>
    <w:rsid w:val="00CA79C7"/>
    <w:rsid w:val="00CA7C4A"/>
    <w:rsid w:val="00CB2F5B"/>
    <w:rsid w:val="00CC19F4"/>
    <w:rsid w:val="00CC2486"/>
    <w:rsid w:val="00CC3034"/>
    <w:rsid w:val="00CD1D91"/>
    <w:rsid w:val="00CE11DA"/>
    <w:rsid w:val="00CF5E14"/>
    <w:rsid w:val="00CF724F"/>
    <w:rsid w:val="00CF79B6"/>
    <w:rsid w:val="00D0185C"/>
    <w:rsid w:val="00D01B3B"/>
    <w:rsid w:val="00D01D08"/>
    <w:rsid w:val="00D056B6"/>
    <w:rsid w:val="00D07253"/>
    <w:rsid w:val="00D20BCE"/>
    <w:rsid w:val="00D22C34"/>
    <w:rsid w:val="00D23F86"/>
    <w:rsid w:val="00D30798"/>
    <w:rsid w:val="00D30FCA"/>
    <w:rsid w:val="00D34806"/>
    <w:rsid w:val="00D34816"/>
    <w:rsid w:val="00D34C65"/>
    <w:rsid w:val="00D4056F"/>
    <w:rsid w:val="00D42635"/>
    <w:rsid w:val="00D45104"/>
    <w:rsid w:val="00D460BD"/>
    <w:rsid w:val="00D50744"/>
    <w:rsid w:val="00D52BC2"/>
    <w:rsid w:val="00D544FC"/>
    <w:rsid w:val="00D5625F"/>
    <w:rsid w:val="00D61FBD"/>
    <w:rsid w:val="00D62CD4"/>
    <w:rsid w:val="00D6320E"/>
    <w:rsid w:val="00D700E3"/>
    <w:rsid w:val="00D70FE2"/>
    <w:rsid w:val="00D7295B"/>
    <w:rsid w:val="00D74360"/>
    <w:rsid w:val="00D75B48"/>
    <w:rsid w:val="00D76C49"/>
    <w:rsid w:val="00D806FE"/>
    <w:rsid w:val="00D8249C"/>
    <w:rsid w:val="00D915C9"/>
    <w:rsid w:val="00D936C6"/>
    <w:rsid w:val="00DA167E"/>
    <w:rsid w:val="00DA646D"/>
    <w:rsid w:val="00DA68CE"/>
    <w:rsid w:val="00DB5C63"/>
    <w:rsid w:val="00DC0075"/>
    <w:rsid w:val="00DC2E80"/>
    <w:rsid w:val="00DC4D4E"/>
    <w:rsid w:val="00DC5D7B"/>
    <w:rsid w:val="00DC5D7E"/>
    <w:rsid w:val="00DC7C3B"/>
    <w:rsid w:val="00DD0BBF"/>
    <w:rsid w:val="00DD260F"/>
    <w:rsid w:val="00DE0041"/>
    <w:rsid w:val="00DE0237"/>
    <w:rsid w:val="00DE077E"/>
    <w:rsid w:val="00DE0BB5"/>
    <w:rsid w:val="00DE242E"/>
    <w:rsid w:val="00DE49AF"/>
    <w:rsid w:val="00DE78EA"/>
    <w:rsid w:val="00E01CB1"/>
    <w:rsid w:val="00E052AD"/>
    <w:rsid w:val="00E054C1"/>
    <w:rsid w:val="00E071C0"/>
    <w:rsid w:val="00E07EA7"/>
    <w:rsid w:val="00E1070E"/>
    <w:rsid w:val="00E129FF"/>
    <w:rsid w:val="00E12C49"/>
    <w:rsid w:val="00E12DCC"/>
    <w:rsid w:val="00E1313B"/>
    <w:rsid w:val="00E25858"/>
    <w:rsid w:val="00E26064"/>
    <w:rsid w:val="00E26462"/>
    <w:rsid w:val="00E31425"/>
    <w:rsid w:val="00E377AB"/>
    <w:rsid w:val="00E4540B"/>
    <w:rsid w:val="00E50C6B"/>
    <w:rsid w:val="00E55E18"/>
    <w:rsid w:val="00E603DE"/>
    <w:rsid w:val="00E62359"/>
    <w:rsid w:val="00E6490C"/>
    <w:rsid w:val="00E65ACF"/>
    <w:rsid w:val="00E66E49"/>
    <w:rsid w:val="00E675AC"/>
    <w:rsid w:val="00E6780B"/>
    <w:rsid w:val="00E72A25"/>
    <w:rsid w:val="00E77C72"/>
    <w:rsid w:val="00E804CE"/>
    <w:rsid w:val="00E81C0E"/>
    <w:rsid w:val="00E85774"/>
    <w:rsid w:val="00E871B6"/>
    <w:rsid w:val="00E95622"/>
    <w:rsid w:val="00E95C38"/>
    <w:rsid w:val="00EA01D3"/>
    <w:rsid w:val="00EA0CD2"/>
    <w:rsid w:val="00EA0EB3"/>
    <w:rsid w:val="00EA188D"/>
    <w:rsid w:val="00EA19F6"/>
    <w:rsid w:val="00EA7E5F"/>
    <w:rsid w:val="00EB535A"/>
    <w:rsid w:val="00EC2576"/>
    <w:rsid w:val="00EC3CF7"/>
    <w:rsid w:val="00EC448B"/>
    <w:rsid w:val="00EC7347"/>
    <w:rsid w:val="00ED3A58"/>
    <w:rsid w:val="00ED5E40"/>
    <w:rsid w:val="00ED6C21"/>
    <w:rsid w:val="00EE1FE2"/>
    <w:rsid w:val="00EE6592"/>
    <w:rsid w:val="00EF2F96"/>
    <w:rsid w:val="00F07993"/>
    <w:rsid w:val="00F149FA"/>
    <w:rsid w:val="00F1660A"/>
    <w:rsid w:val="00F2355D"/>
    <w:rsid w:val="00F23A20"/>
    <w:rsid w:val="00F23D69"/>
    <w:rsid w:val="00F272F6"/>
    <w:rsid w:val="00F274D8"/>
    <w:rsid w:val="00F32243"/>
    <w:rsid w:val="00F378A3"/>
    <w:rsid w:val="00F4473B"/>
    <w:rsid w:val="00F503C2"/>
    <w:rsid w:val="00F50409"/>
    <w:rsid w:val="00F51BAE"/>
    <w:rsid w:val="00F54FDE"/>
    <w:rsid w:val="00F553CE"/>
    <w:rsid w:val="00F63638"/>
    <w:rsid w:val="00F71658"/>
    <w:rsid w:val="00F73342"/>
    <w:rsid w:val="00F74C16"/>
    <w:rsid w:val="00F75C85"/>
    <w:rsid w:val="00F825E2"/>
    <w:rsid w:val="00F82E63"/>
    <w:rsid w:val="00F84DFB"/>
    <w:rsid w:val="00F84F83"/>
    <w:rsid w:val="00F85F04"/>
    <w:rsid w:val="00F86CC6"/>
    <w:rsid w:val="00F86E1B"/>
    <w:rsid w:val="00F92D85"/>
    <w:rsid w:val="00F9554F"/>
    <w:rsid w:val="00F97262"/>
    <w:rsid w:val="00FA118D"/>
    <w:rsid w:val="00FB02B9"/>
    <w:rsid w:val="00FB21FB"/>
    <w:rsid w:val="00FB3D2E"/>
    <w:rsid w:val="00FB4E09"/>
    <w:rsid w:val="00FC10F6"/>
    <w:rsid w:val="00FC4787"/>
    <w:rsid w:val="00FC7190"/>
    <w:rsid w:val="00FC7720"/>
    <w:rsid w:val="00FD2A82"/>
    <w:rsid w:val="00FD384A"/>
    <w:rsid w:val="00FD3AF1"/>
    <w:rsid w:val="00FD6B30"/>
    <w:rsid w:val="00FD78E6"/>
    <w:rsid w:val="00FE3336"/>
    <w:rsid w:val="00FE57FE"/>
    <w:rsid w:val="00FF3385"/>
    <w:rsid w:val="00FF38FB"/>
    <w:rsid w:val="00FF6A1E"/>
    <w:rsid w:val="012C2FF8"/>
    <w:rsid w:val="017805E0"/>
    <w:rsid w:val="02070CE2"/>
    <w:rsid w:val="02164C2B"/>
    <w:rsid w:val="02411D84"/>
    <w:rsid w:val="024D6C52"/>
    <w:rsid w:val="026B6A9E"/>
    <w:rsid w:val="028337B8"/>
    <w:rsid w:val="02A276E1"/>
    <w:rsid w:val="030176FB"/>
    <w:rsid w:val="03133920"/>
    <w:rsid w:val="032234B3"/>
    <w:rsid w:val="041F2C8B"/>
    <w:rsid w:val="06020F71"/>
    <w:rsid w:val="065B2351"/>
    <w:rsid w:val="06CE1DB6"/>
    <w:rsid w:val="0729554C"/>
    <w:rsid w:val="074274DA"/>
    <w:rsid w:val="075A26C1"/>
    <w:rsid w:val="075C4008"/>
    <w:rsid w:val="088B2F95"/>
    <w:rsid w:val="08E64CCA"/>
    <w:rsid w:val="096F6F22"/>
    <w:rsid w:val="09E37917"/>
    <w:rsid w:val="0A614FEB"/>
    <w:rsid w:val="0A9A104F"/>
    <w:rsid w:val="0AEC4250"/>
    <w:rsid w:val="0B16263E"/>
    <w:rsid w:val="0B3C33FC"/>
    <w:rsid w:val="0B4E4A96"/>
    <w:rsid w:val="0B7014C9"/>
    <w:rsid w:val="0BCE7543"/>
    <w:rsid w:val="0D051AEA"/>
    <w:rsid w:val="0D3565B7"/>
    <w:rsid w:val="0D5F4198"/>
    <w:rsid w:val="0D647905"/>
    <w:rsid w:val="0D9D5C11"/>
    <w:rsid w:val="0EBC2F68"/>
    <w:rsid w:val="0F6C7CDA"/>
    <w:rsid w:val="0F8B062E"/>
    <w:rsid w:val="10311CE1"/>
    <w:rsid w:val="10473BC7"/>
    <w:rsid w:val="104E1CA6"/>
    <w:rsid w:val="108F54AB"/>
    <w:rsid w:val="10DB741F"/>
    <w:rsid w:val="11127BAF"/>
    <w:rsid w:val="11165B17"/>
    <w:rsid w:val="112555E6"/>
    <w:rsid w:val="113D14B7"/>
    <w:rsid w:val="11796099"/>
    <w:rsid w:val="11807745"/>
    <w:rsid w:val="11A30BFE"/>
    <w:rsid w:val="12245931"/>
    <w:rsid w:val="123271A2"/>
    <w:rsid w:val="12737FD2"/>
    <w:rsid w:val="131F4C06"/>
    <w:rsid w:val="132F4FCB"/>
    <w:rsid w:val="135C5DCC"/>
    <w:rsid w:val="136C7987"/>
    <w:rsid w:val="13767A5D"/>
    <w:rsid w:val="13E474DE"/>
    <w:rsid w:val="15165591"/>
    <w:rsid w:val="1593348A"/>
    <w:rsid w:val="15D00719"/>
    <w:rsid w:val="16154B29"/>
    <w:rsid w:val="1682657E"/>
    <w:rsid w:val="16934C0F"/>
    <w:rsid w:val="1700444F"/>
    <w:rsid w:val="17386FA6"/>
    <w:rsid w:val="17967E83"/>
    <w:rsid w:val="17AE18FA"/>
    <w:rsid w:val="17BA7BF1"/>
    <w:rsid w:val="17D04EBB"/>
    <w:rsid w:val="17D50129"/>
    <w:rsid w:val="182B1F88"/>
    <w:rsid w:val="19526A99"/>
    <w:rsid w:val="195D472D"/>
    <w:rsid w:val="196271BA"/>
    <w:rsid w:val="19814337"/>
    <w:rsid w:val="19CA55C2"/>
    <w:rsid w:val="19CD2164"/>
    <w:rsid w:val="19EF48DD"/>
    <w:rsid w:val="1A31201D"/>
    <w:rsid w:val="1B0330B0"/>
    <w:rsid w:val="1B5C26FE"/>
    <w:rsid w:val="1B662B06"/>
    <w:rsid w:val="1B837F1E"/>
    <w:rsid w:val="1BBA2A42"/>
    <w:rsid w:val="1BC50CB0"/>
    <w:rsid w:val="1BE51EE4"/>
    <w:rsid w:val="1C0F1375"/>
    <w:rsid w:val="1CA86C4E"/>
    <w:rsid w:val="1D5B60CB"/>
    <w:rsid w:val="1D6C3ADA"/>
    <w:rsid w:val="1D7522E4"/>
    <w:rsid w:val="1D911A4F"/>
    <w:rsid w:val="1E065A28"/>
    <w:rsid w:val="1E133E52"/>
    <w:rsid w:val="1E260600"/>
    <w:rsid w:val="1E74013F"/>
    <w:rsid w:val="1EE302BC"/>
    <w:rsid w:val="1FF7240D"/>
    <w:rsid w:val="20672636"/>
    <w:rsid w:val="207A44DE"/>
    <w:rsid w:val="20B26842"/>
    <w:rsid w:val="20E904DD"/>
    <w:rsid w:val="21C06B9A"/>
    <w:rsid w:val="22074581"/>
    <w:rsid w:val="235B390E"/>
    <w:rsid w:val="238B0B05"/>
    <w:rsid w:val="23967533"/>
    <w:rsid w:val="24290AE3"/>
    <w:rsid w:val="24894ED1"/>
    <w:rsid w:val="24B90053"/>
    <w:rsid w:val="257675F5"/>
    <w:rsid w:val="25B80957"/>
    <w:rsid w:val="25D30C6C"/>
    <w:rsid w:val="26655EED"/>
    <w:rsid w:val="26773532"/>
    <w:rsid w:val="26E32EDA"/>
    <w:rsid w:val="26EF0388"/>
    <w:rsid w:val="279C2F20"/>
    <w:rsid w:val="27AB6719"/>
    <w:rsid w:val="27AB6C12"/>
    <w:rsid w:val="2808303D"/>
    <w:rsid w:val="28405395"/>
    <w:rsid w:val="285A50CF"/>
    <w:rsid w:val="294C1461"/>
    <w:rsid w:val="2A853960"/>
    <w:rsid w:val="2AA54D8B"/>
    <w:rsid w:val="2AF80BFB"/>
    <w:rsid w:val="2B297A27"/>
    <w:rsid w:val="2B4543D3"/>
    <w:rsid w:val="2C734DFA"/>
    <w:rsid w:val="2C944E51"/>
    <w:rsid w:val="2D90220B"/>
    <w:rsid w:val="2DAF226B"/>
    <w:rsid w:val="2DC61A4E"/>
    <w:rsid w:val="2DF357EA"/>
    <w:rsid w:val="2E303E88"/>
    <w:rsid w:val="2E377F5E"/>
    <w:rsid w:val="2E680A41"/>
    <w:rsid w:val="2F287FDC"/>
    <w:rsid w:val="2F3A10B3"/>
    <w:rsid w:val="2F6919E1"/>
    <w:rsid w:val="2F9A7BA6"/>
    <w:rsid w:val="313A1810"/>
    <w:rsid w:val="31A30D7B"/>
    <w:rsid w:val="31E73409"/>
    <w:rsid w:val="32605F28"/>
    <w:rsid w:val="32A755E7"/>
    <w:rsid w:val="32F553A9"/>
    <w:rsid w:val="33174ADF"/>
    <w:rsid w:val="33A53E16"/>
    <w:rsid w:val="33D20B3B"/>
    <w:rsid w:val="34650A83"/>
    <w:rsid w:val="348A6BF0"/>
    <w:rsid w:val="348D2D96"/>
    <w:rsid w:val="34D14211"/>
    <w:rsid w:val="34D35BB6"/>
    <w:rsid w:val="35ED1D53"/>
    <w:rsid w:val="36003636"/>
    <w:rsid w:val="361E393F"/>
    <w:rsid w:val="36733179"/>
    <w:rsid w:val="369B44B9"/>
    <w:rsid w:val="378C5F7A"/>
    <w:rsid w:val="37CD1D28"/>
    <w:rsid w:val="381D046E"/>
    <w:rsid w:val="383133DE"/>
    <w:rsid w:val="387732D7"/>
    <w:rsid w:val="389A0AE5"/>
    <w:rsid w:val="38C65B34"/>
    <w:rsid w:val="39913916"/>
    <w:rsid w:val="39D67AE5"/>
    <w:rsid w:val="39F767E6"/>
    <w:rsid w:val="3A143258"/>
    <w:rsid w:val="3A2D5BB5"/>
    <w:rsid w:val="3AB03D60"/>
    <w:rsid w:val="3B1D45CE"/>
    <w:rsid w:val="3B266598"/>
    <w:rsid w:val="3B586323"/>
    <w:rsid w:val="3BB16FD5"/>
    <w:rsid w:val="3C2E7BCE"/>
    <w:rsid w:val="3C9F4B00"/>
    <w:rsid w:val="3CBB4340"/>
    <w:rsid w:val="3D5A39E2"/>
    <w:rsid w:val="3E1624AE"/>
    <w:rsid w:val="3E1B49A6"/>
    <w:rsid w:val="3E241668"/>
    <w:rsid w:val="3EAD7CBB"/>
    <w:rsid w:val="3EDA4C82"/>
    <w:rsid w:val="3F3A1907"/>
    <w:rsid w:val="3F78695D"/>
    <w:rsid w:val="400A62B0"/>
    <w:rsid w:val="403351EA"/>
    <w:rsid w:val="405E2750"/>
    <w:rsid w:val="407B2B39"/>
    <w:rsid w:val="40977C03"/>
    <w:rsid w:val="409C592E"/>
    <w:rsid w:val="411D49E5"/>
    <w:rsid w:val="412E0F28"/>
    <w:rsid w:val="41DD4BAA"/>
    <w:rsid w:val="41EF14BA"/>
    <w:rsid w:val="423F4E2B"/>
    <w:rsid w:val="427D2420"/>
    <w:rsid w:val="42B52248"/>
    <w:rsid w:val="42C8119D"/>
    <w:rsid w:val="42EE3572"/>
    <w:rsid w:val="43771A3C"/>
    <w:rsid w:val="43A80BFF"/>
    <w:rsid w:val="44115CBC"/>
    <w:rsid w:val="44767726"/>
    <w:rsid w:val="447E086E"/>
    <w:rsid w:val="44891BDD"/>
    <w:rsid w:val="44D830D4"/>
    <w:rsid w:val="45672B03"/>
    <w:rsid w:val="45803914"/>
    <w:rsid w:val="46196EBD"/>
    <w:rsid w:val="4637116A"/>
    <w:rsid w:val="4690357B"/>
    <w:rsid w:val="4727007F"/>
    <w:rsid w:val="47752E5A"/>
    <w:rsid w:val="47DD663A"/>
    <w:rsid w:val="485E1D40"/>
    <w:rsid w:val="487B4576"/>
    <w:rsid w:val="48966C13"/>
    <w:rsid w:val="48E2521F"/>
    <w:rsid w:val="49827327"/>
    <w:rsid w:val="49D12C63"/>
    <w:rsid w:val="49F927E9"/>
    <w:rsid w:val="4A545BD6"/>
    <w:rsid w:val="4B2175D3"/>
    <w:rsid w:val="4B3D5660"/>
    <w:rsid w:val="4B916F1D"/>
    <w:rsid w:val="4BF52613"/>
    <w:rsid w:val="4C392DFB"/>
    <w:rsid w:val="4CAD6D4B"/>
    <w:rsid w:val="4D102D7B"/>
    <w:rsid w:val="4D2D232C"/>
    <w:rsid w:val="4DB926EB"/>
    <w:rsid w:val="4E395605"/>
    <w:rsid w:val="4E6A04F4"/>
    <w:rsid w:val="4E955E2F"/>
    <w:rsid w:val="4EA264C7"/>
    <w:rsid w:val="4F2772E1"/>
    <w:rsid w:val="4F8042E4"/>
    <w:rsid w:val="4F963A74"/>
    <w:rsid w:val="4FD5367C"/>
    <w:rsid w:val="4FD57D03"/>
    <w:rsid w:val="4FFE763F"/>
    <w:rsid w:val="50273C65"/>
    <w:rsid w:val="50D75E3E"/>
    <w:rsid w:val="51036EEC"/>
    <w:rsid w:val="514E2D70"/>
    <w:rsid w:val="515B3E0F"/>
    <w:rsid w:val="51F4099F"/>
    <w:rsid w:val="530C5B09"/>
    <w:rsid w:val="538F4598"/>
    <w:rsid w:val="542A2224"/>
    <w:rsid w:val="54343669"/>
    <w:rsid w:val="55004DFD"/>
    <w:rsid w:val="550A5706"/>
    <w:rsid w:val="55D27C54"/>
    <w:rsid w:val="55EA04E9"/>
    <w:rsid w:val="564F1375"/>
    <w:rsid w:val="569A32A2"/>
    <w:rsid w:val="569E772A"/>
    <w:rsid w:val="56CA1CA8"/>
    <w:rsid w:val="56E93FF2"/>
    <w:rsid w:val="57036736"/>
    <w:rsid w:val="5778643E"/>
    <w:rsid w:val="57A11BB6"/>
    <w:rsid w:val="58004E9D"/>
    <w:rsid w:val="58236D63"/>
    <w:rsid w:val="58EF7663"/>
    <w:rsid w:val="59250C25"/>
    <w:rsid w:val="5952673B"/>
    <w:rsid w:val="597F77E2"/>
    <w:rsid w:val="59A61E53"/>
    <w:rsid w:val="59B8596F"/>
    <w:rsid w:val="59BA1FB3"/>
    <w:rsid w:val="59D13AAC"/>
    <w:rsid w:val="59DA63E5"/>
    <w:rsid w:val="59F97E16"/>
    <w:rsid w:val="5A0F2690"/>
    <w:rsid w:val="5A110378"/>
    <w:rsid w:val="5A507ED6"/>
    <w:rsid w:val="5A8A75AA"/>
    <w:rsid w:val="5B095638"/>
    <w:rsid w:val="5B415E3C"/>
    <w:rsid w:val="5B690EF9"/>
    <w:rsid w:val="5B6A7FA3"/>
    <w:rsid w:val="5B7A491F"/>
    <w:rsid w:val="5BA33C64"/>
    <w:rsid w:val="5BB11EB1"/>
    <w:rsid w:val="5BB55204"/>
    <w:rsid w:val="5BBE079B"/>
    <w:rsid w:val="5BDF7DCF"/>
    <w:rsid w:val="5BE209BD"/>
    <w:rsid w:val="5C044B3F"/>
    <w:rsid w:val="5C5275F5"/>
    <w:rsid w:val="5C767840"/>
    <w:rsid w:val="5D3543FB"/>
    <w:rsid w:val="5D562184"/>
    <w:rsid w:val="5D6416C7"/>
    <w:rsid w:val="5E7E5F1C"/>
    <w:rsid w:val="5EA130E0"/>
    <w:rsid w:val="5EA165BA"/>
    <w:rsid w:val="60482D91"/>
    <w:rsid w:val="60D43292"/>
    <w:rsid w:val="61025ECF"/>
    <w:rsid w:val="612614FB"/>
    <w:rsid w:val="612923EE"/>
    <w:rsid w:val="6204794C"/>
    <w:rsid w:val="620D3B54"/>
    <w:rsid w:val="621779C3"/>
    <w:rsid w:val="62A7576D"/>
    <w:rsid w:val="62AD146E"/>
    <w:rsid w:val="62B81204"/>
    <w:rsid w:val="636C5B0B"/>
    <w:rsid w:val="63822B5C"/>
    <w:rsid w:val="63D81CCD"/>
    <w:rsid w:val="64324106"/>
    <w:rsid w:val="649871FA"/>
    <w:rsid w:val="6519613C"/>
    <w:rsid w:val="651C7AC4"/>
    <w:rsid w:val="65C3544C"/>
    <w:rsid w:val="674C05D3"/>
    <w:rsid w:val="676902B6"/>
    <w:rsid w:val="67871BD6"/>
    <w:rsid w:val="6799414F"/>
    <w:rsid w:val="67B3558F"/>
    <w:rsid w:val="683406F1"/>
    <w:rsid w:val="68E513B0"/>
    <w:rsid w:val="693016FA"/>
    <w:rsid w:val="69597318"/>
    <w:rsid w:val="69635FDA"/>
    <w:rsid w:val="699E6DAC"/>
    <w:rsid w:val="69B306BE"/>
    <w:rsid w:val="69F134E0"/>
    <w:rsid w:val="6A0705BF"/>
    <w:rsid w:val="6A0C17B7"/>
    <w:rsid w:val="6A9C0DCA"/>
    <w:rsid w:val="6B0C4278"/>
    <w:rsid w:val="6B207C23"/>
    <w:rsid w:val="6B584148"/>
    <w:rsid w:val="6B6555BF"/>
    <w:rsid w:val="6B927FAC"/>
    <w:rsid w:val="6BF02FA5"/>
    <w:rsid w:val="6C137E8A"/>
    <w:rsid w:val="6C62044F"/>
    <w:rsid w:val="6C803154"/>
    <w:rsid w:val="6CF131F0"/>
    <w:rsid w:val="6D683BB7"/>
    <w:rsid w:val="6DB4145F"/>
    <w:rsid w:val="6E431044"/>
    <w:rsid w:val="6E4A7281"/>
    <w:rsid w:val="6E6F6DD7"/>
    <w:rsid w:val="6F1D12BC"/>
    <w:rsid w:val="6F4670D4"/>
    <w:rsid w:val="6F7D69F9"/>
    <w:rsid w:val="6FD0569F"/>
    <w:rsid w:val="6FD672F4"/>
    <w:rsid w:val="6FF5793D"/>
    <w:rsid w:val="6FF76454"/>
    <w:rsid w:val="700C719B"/>
    <w:rsid w:val="70253512"/>
    <w:rsid w:val="705B5C1C"/>
    <w:rsid w:val="7093100D"/>
    <w:rsid w:val="71B5525C"/>
    <w:rsid w:val="71ED513D"/>
    <w:rsid w:val="727A5AAE"/>
    <w:rsid w:val="727B05E0"/>
    <w:rsid w:val="72A03B24"/>
    <w:rsid w:val="7345352C"/>
    <w:rsid w:val="75157864"/>
    <w:rsid w:val="75346E64"/>
    <w:rsid w:val="756D6660"/>
    <w:rsid w:val="75D85800"/>
    <w:rsid w:val="76566332"/>
    <w:rsid w:val="765A3B09"/>
    <w:rsid w:val="76607A74"/>
    <w:rsid w:val="76AD4537"/>
    <w:rsid w:val="770C2747"/>
    <w:rsid w:val="77C05D6A"/>
    <w:rsid w:val="784E021D"/>
    <w:rsid w:val="784F2C62"/>
    <w:rsid w:val="78563693"/>
    <w:rsid w:val="785E0E5F"/>
    <w:rsid w:val="797B64CB"/>
    <w:rsid w:val="79C81F1F"/>
    <w:rsid w:val="79FC6210"/>
    <w:rsid w:val="7A181DF7"/>
    <w:rsid w:val="7A6573FF"/>
    <w:rsid w:val="7A945FF5"/>
    <w:rsid w:val="7B107994"/>
    <w:rsid w:val="7CDE07EA"/>
    <w:rsid w:val="7D6A2C65"/>
    <w:rsid w:val="7D903211"/>
    <w:rsid w:val="7D98020E"/>
    <w:rsid w:val="7E615B81"/>
    <w:rsid w:val="7E9B3938"/>
    <w:rsid w:val="7EB503F0"/>
    <w:rsid w:val="7EC73B8E"/>
    <w:rsid w:val="7F517E80"/>
    <w:rsid w:val="7F993C5C"/>
    <w:rsid w:val="7FAE0998"/>
    <w:rsid w:val="7FBA7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adjustRightInd w:val="0"/>
      <w:snapToGrid w:val="0"/>
      <w:spacing w:line="360" w:lineRule="auto"/>
      <w:jc w:val="center"/>
      <w:outlineLvl w:val="0"/>
    </w:pPr>
    <w:rPr>
      <w:rFonts w:eastAsia="楷体"/>
      <w:b/>
      <w:bCs/>
      <w:kern w:val="44"/>
      <w:sz w:val="36"/>
      <w:szCs w:val="44"/>
    </w:rPr>
  </w:style>
  <w:style w:type="paragraph" w:styleId="3">
    <w:name w:val="heading 2"/>
    <w:basedOn w:val="1"/>
    <w:next w:val="1"/>
    <w:qFormat/>
    <w:uiPriority w:val="0"/>
    <w:pPr>
      <w:keepNext/>
      <w:keepLines/>
      <w:adjustRightInd w:val="0"/>
      <w:snapToGrid w:val="0"/>
      <w:jc w:val="center"/>
      <w:outlineLvl w:val="1"/>
    </w:pPr>
    <w:rPr>
      <w:rFonts w:ascii="Arial" w:hAnsi="Arial" w:eastAsia="楷体"/>
      <w:b/>
      <w:bCs/>
      <w:sz w:val="24"/>
      <w:szCs w:val="32"/>
    </w:rPr>
  </w:style>
  <w:style w:type="paragraph" w:styleId="4">
    <w:name w:val="heading 3"/>
    <w:basedOn w:val="1"/>
    <w:next w:val="1"/>
    <w:qFormat/>
    <w:uiPriority w:val="0"/>
    <w:pPr>
      <w:keepNext/>
      <w:keepLines/>
      <w:spacing w:before="260" w:after="260" w:line="413" w:lineRule="auto"/>
      <w:outlineLvl w:val="2"/>
    </w:pPr>
    <w:rPr>
      <w:b/>
      <w:sz w:val="32"/>
      <w:szCs w:val="20"/>
    </w:rPr>
  </w:style>
  <w:style w:type="paragraph" w:styleId="5">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next w:val="4"/>
    <w:link w:val="45"/>
    <w:qFormat/>
    <w:uiPriority w:val="0"/>
    <w:pPr>
      <w:jc w:val="left"/>
    </w:pPr>
  </w:style>
  <w:style w:type="paragraph" w:styleId="15">
    <w:name w:val="Body Text"/>
    <w:basedOn w:val="1"/>
    <w:qFormat/>
    <w:uiPriority w:val="0"/>
    <w:pPr>
      <w:spacing w:after="120"/>
    </w:pPr>
  </w:style>
  <w:style w:type="paragraph" w:styleId="16">
    <w:name w:val="Body Text Indent"/>
    <w:basedOn w:val="1"/>
    <w:qFormat/>
    <w:uiPriority w:val="0"/>
    <w:pPr>
      <w:widowControl/>
      <w:autoSpaceDE w:val="0"/>
      <w:autoSpaceDN w:val="0"/>
      <w:adjustRightInd w:val="0"/>
      <w:spacing w:line="460" w:lineRule="exact"/>
      <w:ind w:firstLine="570"/>
      <w:jc w:val="left"/>
    </w:pPr>
    <w:rPr>
      <w:rFonts w:ascii="宋体"/>
      <w:kern w:val="0"/>
      <w:sz w:val="24"/>
      <w:szCs w:val="20"/>
    </w:rPr>
  </w:style>
  <w:style w:type="paragraph" w:styleId="17">
    <w:name w:val="toc 3"/>
    <w:basedOn w:val="1"/>
    <w:next w:val="1"/>
    <w:qFormat/>
    <w:uiPriority w:val="39"/>
    <w:pPr>
      <w:ind w:left="840" w:leftChars="400"/>
    </w:pPr>
  </w:style>
  <w:style w:type="paragraph" w:styleId="18">
    <w:name w:val="Plain Text"/>
    <w:basedOn w:val="1"/>
    <w:link w:val="47"/>
    <w:qFormat/>
    <w:uiPriority w:val="0"/>
    <w:rPr>
      <w:rFonts w:ascii="宋体" w:hAnsi="Courier New"/>
      <w:sz w:val="19"/>
      <w:szCs w:val="20"/>
    </w:rPr>
  </w:style>
  <w:style w:type="paragraph" w:styleId="19">
    <w:name w:val="Date"/>
    <w:basedOn w:val="1"/>
    <w:next w:val="1"/>
    <w:qFormat/>
    <w:uiPriority w:val="0"/>
    <w:pPr>
      <w:autoSpaceDE w:val="0"/>
      <w:autoSpaceDN w:val="0"/>
      <w:adjustRightInd w:val="0"/>
    </w:pPr>
    <w:rPr>
      <w:rFonts w:ascii="宋体"/>
      <w:kern w:val="0"/>
      <w:sz w:val="28"/>
      <w:szCs w:val="20"/>
    </w:rPr>
  </w:style>
  <w:style w:type="paragraph" w:styleId="20">
    <w:name w:val="Body Text Indent 2"/>
    <w:basedOn w:val="1"/>
    <w:qFormat/>
    <w:uiPriority w:val="0"/>
    <w:pPr>
      <w:spacing w:line="600" w:lineRule="atLeast"/>
      <w:ind w:left="241" w:leftChars="241" w:firstLine="647" w:firstLineChars="231"/>
    </w:pPr>
    <w:rPr>
      <w:sz w:val="28"/>
      <w:szCs w:val="20"/>
    </w:rPr>
  </w:style>
  <w:style w:type="paragraph" w:styleId="21">
    <w:name w:val="Balloon Text"/>
    <w:basedOn w:val="1"/>
    <w:qFormat/>
    <w:uiPriority w:val="0"/>
    <w:rPr>
      <w:sz w:val="18"/>
      <w:szCs w:val="18"/>
    </w:r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302"/>
      </w:tabs>
    </w:pPr>
  </w:style>
  <w:style w:type="paragraph" w:styleId="25">
    <w:name w:val="footnote text"/>
    <w:basedOn w:val="1"/>
    <w:link w:val="48"/>
    <w:qFormat/>
    <w:uiPriority w:val="0"/>
    <w:pPr>
      <w:snapToGrid w:val="0"/>
      <w:jc w:val="left"/>
    </w:pPr>
    <w:rPr>
      <w:sz w:val="18"/>
      <w:szCs w:val="18"/>
    </w:rPr>
  </w:style>
  <w:style w:type="paragraph" w:styleId="26">
    <w:name w:val="Body Text Indent 3"/>
    <w:basedOn w:val="1"/>
    <w:qFormat/>
    <w:uiPriority w:val="0"/>
    <w:pPr>
      <w:widowControl/>
      <w:spacing w:line="360" w:lineRule="auto"/>
      <w:ind w:right="67" w:firstLine="420"/>
    </w:pPr>
    <w:rPr>
      <w:color w:val="FF0000"/>
      <w:sz w:val="24"/>
    </w:rPr>
  </w:style>
  <w:style w:type="paragraph" w:styleId="27">
    <w:name w:val="table of figures"/>
    <w:basedOn w:val="1"/>
    <w:next w:val="1"/>
    <w:unhideWhenUsed/>
    <w:qFormat/>
    <w:uiPriority w:val="99"/>
    <w:pPr>
      <w:ind w:left="200" w:leftChars="200" w:hanging="200" w:hangingChars="200"/>
    </w:pPr>
  </w:style>
  <w:style w:type="paragraph" w:styleId="28">
    <w:name w:val="toc 2"/>
    <w:basedOn w:val="1"/>
    <w:next w:val="1"/>
    <w:qFormat/>
    <w:uiPriority w:val="39"/>
    <w:pPr>
      <w:ind w:left="420" w:leftChars="200"/>
    </w:pPr>
  </w:style>
  <w:style w:type="paragraph" w:styleId="29">
    <w:name w:val="Normal (Web)"/>
    <w:basedOn w:val="1"/>
    <w:qFormat/>
    <w:uiPriority w:val="99"/>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30">
    <w:name w:val="annotation subject"/>
    <w:basedOn w:val="14"/>
    <w:next w:val="14"/>
    <w:link w:val="51"/>
    <w:qFormat/>
    <w:uiPriority w:val="0"/>
    <w:rPr>
      <w:b/>
      <w:bCs/>
    </w:rPr>
  </w:style>
  <w:style w:type="paragraph" w:styleId="31">
    <w:name w:val="Body Text First Indent 2"/>
    <w:basedOn w:val="16"/>
    <w:qFormat/>
    <w:uiPriority w:val="0"/>
    <w:pPr>
      <w:widowControl w:val="0"/>
      <w:autoSpaceDE/>
      <w:autoSpaceDN/>
      <w:adjustRightInd/>
      <w:spacing w:after="120" w:line="360" w:lineRule="auto"/>
      <w:ind w:left="420" w:firstLine="210"/>
      <w:jc w:val="both"/>
    </w:pPr>
    <w:rPr>
      <w:rFonts w:ascii="Times New Roman"/>
      <w:kern w:val="2"/>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qFormat/>
    <w:uiPriority w:val="0"/>
    <w:rPr>
      <w:color w:val="800080"/>
      <w:u w:val="single"/>
    </w:rPr>
  </w:style>
  <w:style w:type="character" w:styleId="38">
    <w:name w:val="Emphasis"/>
    <w:qFormat/>
    <w:uiPriority w:val="20"/>
    <w:rPr>
      <w:color w:val="CC0000"/>
    </w:rPr>
  </w:style>
  <w:style w:type="character" w:styleId="39">
    <w:name w:val="Hyperlink"/>
    <w:qFormat/>
    <w:uiPriority w:val="99"/>
    <w:rPr>
      <w:color w:val="0000FF"/>
      <w:u w:val="single"/>
    </w:rPr>
  </w:style>
  <w:style w:type="character" w:styleId="40">
    <w:name w:val="annotation reference"/>
    <w:qFormat/>
    <w:uiPriority w:val="0"/>
    <w:rPr>
      <w:sz w:val="21"/>
      <w:szCs w:val="21"/>
    </w:rPr>
  </w:style>
  <w:style w:type="character" w:styleId="41">
    <w:name w:val="HTML Cite"/>
    <w:qFormat/>
    <w:uiPriority w:val="0"/>
    <w:rPr>
      <w:color w:val="008000"/>
    </w:rPr>
  </w:style>
  <w:style w:type="character" w:styleId="42">
    <w:name w:val="footnote reference"/>
    <w:qFormat/>
    <w:uiPriority w:val="0"/>
    <w:rPr>
      <w:vertAlign w:val="superscript"/>
    </w:rPr>
  </w:style>
  <w:style w:type="character" w:customStyle="1" w:styleId="43">
    <w:name w:val="ca-4"/>
    <w:basedOn w:val="34"/>
    <w:qFormat/>
    <w:uiPriority w:val="0"/>
  </w:style>
  <w:style w:type="character" w:customStyle="1" w:styleId="44">
    <w:name w:val="aa"/>
    <w:basedOn w:val="34"/>
    <w:qFormat/>
    <w:uiPriority w:val="0"/>
  </w:style>
  <w:style w:type="character" w:customStyle="1" w:styleId="45">
    <w:name w:val="批注文字 Char"/>
    <w:link w:val="14"/>
    <w:qFormat/>
    <w:uiPriority w:val="0"/>
    <w:rPr>
      <w:kern w:val="2"/>
      <w:sz w:val="21"/>
      <w:szCs w:val="24"/>
    </w:rPr>
  </w:style>
  <w:style w:type="character" w:customStyle="1" w:styleId="46">
    <w:name w:val="标题 1 Char"/>
    <w:link w:val="2"/>
    <w:qFormat/>
    <w:uiPriority w:val="0"/>
    <w:rPr>
      <w:rFonts w:eastAsia="楷体"/>
      <w:b/>
      <w:bCs/>
      <w:kern w:val="44"/>
      <w:sz w:val="36"/>
      <w:szCs w:val="44"/>
    </w:rPr>
  </w:style>
  <w:style w:type="character" w:customStyle="1" w:styleId="47">
    <w:name w:val="纯文本 Char"/>
    <w:link w:val="18"/>
    <w:qFormat/>
    <w:uiPriority w:val="0"/>
    <w:rPr>
      <w:rFonts w:ascii="宋体" w:hAnsi="Courier New"/>
      <w:kern w:val="2"/>
      <w:sz w:val="19"/>
    </w:rPr>
  </w:style>
  <w:style w:type="character" w:customStyle="1" w:styleId="48">
    <w:name w:val="脚注文本 Char"/>
    <w:link w:val="25"/>
    <w:qFormat/>
    <w:uiPriority w:val="0"/>
    <w:rPr>
      <w:kern w:val="2"/>
      <w:sz w:val="18"/>
      <w:szCs w:val="18"/>
    </w:rPr>
  </w:style>
  <w:style w:type="character" w:customStyle="1" w:styleId="49">
    <w:name w:val="ca-2"/>
    <w:basedOn w:val="34"/>
    <w:qFormat/>
    <w:uiPriority w:val="0"/>
  </w:style>
  <w:style w:type="character" w:customStyle="1" w:styleId="50">
    <w:name w:val="bu1"/>
    <w:qFormat/>
    <w:uiPriority w:val="0"/>
    <w:rPr>
      <w:sz w:val="26"/>
      <w:szCs w:val="26"/>
    </w:rPr>
  </w:style>
  <w:style w:type="character" w:customStyle="1" w:styleId="51">
    <w:name w:val="批注主题 Char"/>
    <w:basedOn w:val="45"/>
    <w:link w:val="30"/>
    <w:qFormat/>
    <w:uiPriority w:val="0"/>
    <w:rPr>
      <w:kern w:val="2"/>
      <w:sz w:val="21"/>
      <w:szCs w:val="24"/>
    </w:rPr>
  </w:style>
  <w:style w:type="paragraph" w:customStyle="1" w:styleId="52">
    <w:name w:val="xl24"/>
    <w:basedOn w:val="1"/>
    <w:qFormat/>
    <w:uiPriority w:val="0"/>
    <w:pPr>
      <w:widowControl/>
      <w:spacing w:before="100" w:after="100"/>
      <w:jc w:val="center"/>
    </w:pPr>
    <w:rPr>
      <w:rFonts w:ascii="宋体" w:hAnsi="宋体"/>
      <w:kern w:val="0"/>
      <w:sz w:val="24"/>
      <w:szCs w:val="20"/>
    </w:rPr>
  </w:style>
  <w:style w:type="paragraph" w:customStyle="1" w:styleId="53">
    <w:name w:val="正文1"/>
    <w:basedOn w:val="1"/>
    <w:qFormat/>
    <w:uiPriority w:val="0"/>
    <w:pPr>
      <w:spacing w:line="480" w:lineRule="exact"/>
      <w:ind w:firstLine="480" w:firstLineChars="200"/>
    </w:pPr>
    <w:rPr>
      <w:rFonts w:ascii="宋体"/>
      <w:sz w:val="24"/>
      <w:szCs w:val="20"/>
    </w:rPr>
  </w:style>
  <w:style w:type="paragraph" w:customStyle="1" w:styleId="54">
    <w:name w:val="Header Base"/>
    <w:basedOn w:val="15"/>
    <w:qFormat/>
    <w:uiPriority w:val="0"/>
    <w:pPr>
      <w:keepLines/>
      <w:widowControl/>
      <w:tabs>
        <w:tab w:val="center" w:pos="4320"/>
        <w:tab w:val="right" w:pos="8640"/>
      </w:tabs>
      <w:suppressAutoHyphens/>
      <w:spacing w:after="0" w:line="180" w:lineRule="atLeast"/>
    </w:pPr>
    <w:rPr>
      <w:rFonts w:ascii="Arial" w:hAnsi="Arial" w:eastAsia="微软简楷体"/>
      <w:spacing w:val="-5"/>
      <w:kern w:val="0"/>
      <w:sz w:val="24"/>
      <w:szCs w:val="20"/>
    </w:rPr>
  </w:style>
  <w:style w:type="paragraph" w:customStyle="1" w:styleId="55">
    <w:name w:val="列出段落2"/>
    <w:basedOn w:val="1"/>
    <w:qFormat/>
    <w:uiPriority w:val="34"/>
    <w:pPr>
      <w:ind w:firstLine="420" w:firstLineChars="200"/>
    </w:pPr>
  </w:style>
  <w:style w:type="paragraph" w:customStyle="1" w:styleId="56">
    <w:name w:val="列出段落3"/>
    <w:basedOn w:val="1"/>
    <w:unhideWhenUsed/>
    <w:qFormat/>
    <w:uiPriority w:val="99"/>
    <w:pPr>
      <w:ind w:firstLine="420" w:firstLineChars="200"/>
    </w:pPr>
  </w:style>
  <w:style w:type="paragraph" w:customStyle="1" w:styleId="57">
    <w:name w:val="Char"/>
    <w:basedOn w:val="1"/>
    <w:qFormat/>
    <w:uiPriority w:val="0"/>
  </w:style>
  <w:style w:type="paragraph" w:styleId="58">
    <w:name w:val="List Paragraph"/>
    <w:basedOn w:val="1"/>
    <w:qFormat/>
    <w:uiPriority w:val="34"/>
    <w:pPr>
      <w:ind w:firstLine="420" w:firstLineChars="200"/>
    </w:pPr>
  </w:style>
  <w:style w:type="paragraph" w:customStyle="1" w:styleId="59">
    <w:name w:val="列出段落1"/>
    <w:basedOn w:val="1"/>
    <w:qFormat/>
    <w:uiPriority w:val="34"/>
    <w:pPr>
      <w:ind w:firstLine="420" w:firstLineChars="200"/>
    </w:pPr>
  </w:style>
  <w:style w:type="paragraph" w:customStyle="1" w:styleId="60">
    <w:name w:val="样式1"/>
    <w:basedOn w:val="1"/>
    <w:qFormat/>
    <w:uiPriority w:val="0"/>
    <w:pPr>
      <w:tabs>
        <w:tab w:val="left" w:pos="753"/>
      </w:tabs>
    </w:pPr>
    <w:rPr>
      <w:rFonts w:ascii="宋体" w:hAnsi="宋体"/>
      <w:szCs w:val="21"/>
    </w:rPr>
  </w:style>
  <w:style w:type="paragraph" w:customStyle="1" w:styleId="61">
    <w:name w:val="普通 (Web)"/>
    <w:basedOn w:val="1"/>
    <w:qFormat/>
    <w:uiPriority w:val="0"/>
    <w:pPr>
      <w:widowControl/>
      <w:suppressAutoHyphens/>
      <w:spacing w:before="100" w:after="100"/>
      <w:jc w:val="left"/>
    </w:pPr>
    <w:rPr>
      <w:rFonts w:ascii="Arial Unicode MS" w:hAnsi="Arial Unicode MS" w:eastAsia="Arial Unicode MS" w:cs="Courier New"/>
      <w:color w:val="000000"/>
      <w:kern w:val="1"/>
      <w:sz w:val="24"/>
      <w:szCs w:val="20"/>
      <w:lang w:eastAsia="ar-SA"/>
    </w:rPr>
  </w:style>
  <w:style w:type="paragraph" w:customStyle="1" w:styleId="62">
    <w:name w:val="Char1"/>
    <w:basedOn w:val="1"/>
    <w:qFormat/>
    <w:uiPriority w:val="0"/>
  </w:style>
  <w:style w:type="paragraph" w:customStyle="1" w:styleId="63">
    <w:name w:val="TOC 标题1"/>
    <w:basedOn w:val="2"/>
    <w:next w:val="1"/>
    <w:qFormat/>
    <w:uiPriority w:val="39"/>
    <w:pPr>
      <w:widowControl/>
      <w:spacing w:before="480" w:line="276" w:lineRule="auto"/>
      <w:jc w:val="left"/>
      <w:outlineLvl w:val="9"/>
    </w:pPr>
    <w:rPr>
      <w:rFonts w:ascii="Cambria" w:hAnsi="Cambria" w:eastAsia="宋体"/>
      <w:color w:val="365F91"/>
      <w:kern w:val="0"/>
      <w:sz w:val="28"/>
      <w:szCs w:val="28"/>
    </w:rPr>
  </w:style>
  <w:style w:type="paragraph" w:customStyle="1" w:styleId="64">
    <w:name w:val="_Style 1"/>
    <w:basedOn w:val="1"/>
    <w:qFormat/>
    <w:uiPriority w:val="34"/>
    <w:pPr>
      <w:ind w:firstLine="420" w:firstLineChars="200"/>
    </w:pPr>
  </w:style>
  <w:style w:type="paragraph" w:customStyle="1" w:styleId="65">
    <w:name w:val="列出段落7"/>
    <w:basedOn w:val="1"/>
    <w:qFormat/>
    <w:uiPriority w:val="34"/>
    <w:pPr>
      <w:ind w:firstLine="420" w:firstLineChars="200"/>
    </w:pPr>
    <w:rPr>
      <w:rFonts w:ascii="Calibri" w:hAnsi="Calibri"/>
      <w:kern w:val="0"/>
      <w:sz w:val="34"/>
      <w:szCs w:val="20"/>
    </w:rPr>
  </w:style>
  <w:style w:type="paragraph" w:customStyle="1" w:styleId="66">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C278E-6C75-4ED2-88DB-D0EFFA4B5D9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65</Pages>
  <Words>12651</Words>
  <Characters>13390</Characters>
  <Lines>185</Lines>
  <Paragraphs>52</Paragraphs>
  <TotalTime>1</TotalTime>
  <ScaleCrop>false</ScaleCrop>
  <LinksUpToDate>false</LinksUpToDate>
  <CharactersWithSpaces>13604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2019-07-24T05:49:00Z</dcterms:created>
  <dc:creator>danyang</dc:creator>
  <cp:lastModifiedBy>allalong</cp:lastModifiedBy>
  <cp:lastPrinted>2019-07-23T00:14:00Z</cp:lastPrinted>
  <dcterms:modified xsi:type="dcterms:W3CDTF">2026-05-09T01:57:12Z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85AC24B625F44B90951758E0E83D8A8F_13</vt:lpwstr>
  </property>
  <property fmtid="{D5CDD505-2E9C-101B-9397-08002B2CF9AE}" pid="4" name="KSOTemplateDocerSaveRecord">
    <vt:lpwstr>eyJoZGlkIjoiMmU4YzEwMTYxZjliNGUzMGRkYzYwN2E2MTdiMDc4ODUiLCJ1c2VySWQiOiIzODgyNTQ1NzAifQ==</vt:lpwstr>
  </property>
</Properties>
</file>